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8CC686">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outlineLvl w:val="9"/>
        <w:rPr>
          <w:rFonts w:hint="eastAsia"/>
          <w:b/>
          <w:bCs/>
          <w:sz w:val="36"/>
          <w:szCs w:val="36"/>
        </w:rPr>
      </w:pPr>
      <w:r>
        <w:rPr>
          <w:rFonts w:hint="eastAsia"/>
          <w:b/>
          <w:bCs/>
          <w:sz w:val="36"/>
          <w:szCs w:val="36"/>
        </w:rPr>
        <w:t>周口市80周岁及以上老人高龄津贴专项资金</w:t>
      </w:r>
    </w:p>
    <w:p w14:paraId="69EDA9B9">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outlineLvl w:val="9"/>
        <w:rPr>
          <w:rFonts w:hint="eastAsia"/>
          <w:b w:val="0"/>
          <w:bCs w:val="0"/>
          <w:sz w:val="36"/>
          <w:szCs w:val="36"/>
          <w:lang w:val="en-US" w:eastAsia="zh-CN"/>
        </w:rPr>
      </w:pPr>
      <w:r>
        <w:rPr>
          <w:rFonts w:hint="eastAsia"/>
          <w:b/>
          <w:bCs/>
          <w:sz w:val="36"/>
          <w:szCs w:val="36"/>
        </w:rPr>
        <w:t>2020年绩效评价</w:t>
      </w:r>
      <w:r>
        <w:rPr>
          <w:rFonts w:hint="eastAsia"/>
          <w:b/>
          <w:bCs/>
          <w:sz w:val="36"/>
          <w:szCs w:val="36"/>
          <w:lang w:val="en-US" w:eastAsia="zh-CN"/>
        </w:rPr>
        <w:t>报告</w:t>
      </w:r>
    </w:p>
    <w:p w14:paraId="622CF961">
      <w:pPr>
        <w:pStyle w:val="2"/>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b/>
          <w:bCs/>
          <w:sz w:val="28"/>
          <w:szCs w:val="28"/>
        </w:rPr>
      </w:pPr>
      <w:bookmarkStart w:id="31" w:name="_GoBack"/>
      <w:bookmarkEnd w:id="31"/>
    </w:p>
    <w:p w14:paraId="301A6F41">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outlineLvl w:val="0"/>
        <w:rPr>
          <w:rFonts w:hint="eastAsia"/>
          <w:sz w:val="28"/>
          <w:szCs w:val="28"/>
        </w:rPr>
      </w:pPr>
      <w:bookmarkStart w:id="0" w:name="_Toc31644"/>
      <w:r>
        <w:rPr>
          <w:rFonts w:hint="eastAsia"/>
          <w:b/>
          <w:bCs/>
          <w:sz w:val="28"/>
          <w:szCs w:val="28"/>
        </w:rPr>
        <w:t>一、项目基本情况</w:t>
      </w:r>
      <w:bookmarkEnd w:id="0"/>
    </w:p>
    <w:p w14:paraId="52E230AC">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outlineLvl w:val="1"/>
        <w:rPr>
          <w:rFonts w:hint="eastAsia" w:ascii="楷体" w:hAnsi="楷体" w:cs="楷体"/>
          <w:b/>
          <w:bCs/>
          <w:sz w:val="28"/>
          <w:szCs w:val="28"/>
          <w:lang w:val="en-US" w:eastAsia="zh-CN"/>
        </w:rPr>
      </w:pPr>
      <w:bookmarkStart w:id="1" w:name="_Toc32665"/>
      <w:bookmarkStart w:id="2" w:name="_Toc18870"/>
      <w:r>
        <w:rPr>
          <w:rFonts w:hint="eastAsia" w:ascii="楷体" w:hAnsi="楷体" w:cs="楷体"/>
          <w:b/>
          <w:bCs/>
          <w:sz w:val="28"/>
          <w:szCs w:val="28"/>
          <w:lang w:val="zh-CN" w:eastAsia="zh-CN"/>
        </w:rPr>
        <w:t>（一）项目立项的背景和目的</w:t>
      </w:r>
      <w:bookmarkEnd w:id="1"/>
      <w:bookmarkEnd w:id="2"/>
    </w:p>
    <w:p w14:paraId="160E166A">
      <w:pPr>
        <w:bidi w:val="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80周岁及以上老人高龄津贴（以下统称高龄津贴）制度的实施，是我省全面贯彻习近平新时代中国特色社会主义思想和党的十九大精神，落实习近平总书记关于民政工作和养老服务工作的重要指示批示精神的重要举措，是积极应对人口老龄化，落实《河南省老年人权益保障条例》的具体体现。</w:t>
      </w:r>
    </w:p>
    <w:p w14:paraId="43886B32">
      <w:pPr>
        <w:bidi w:val="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为切实办好关系群众切身利益的重点民生工作，努力让改革发展成果更多更公平惠及广大人民群众，按照《省委办公厅、省政府办公厅关于印发&lt;2019年河南省重点民生实事工作方案&gt;的通知》（豫办〔2019〕5号）和《河南省民政厅 河南省财政厅关于实施高龄津贴制度的通知》（豫民文〔2019〕109号）要求，周口市民政局、市财政局联合制定下发了《关于发放80周岁及以上老人高龄津贴的通知》（周民文〔2019〕53号），自2019年1月1日起，在全市范围内发放80周岁及以上老人高龄津贴。</w:t>
      </w:r>
    </w:p>
    <w:p w14:paraId="10ED8D3E">
      <w:pPr>
        <w:bidi w:val="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高龄津贴专项资金补贴的对象、标准、形式如下：</w:t>
      </w:r>
    </w:p>
    <w:p w14:paraId="21A1E701">
      <w:pPr>
        <w:bidi w:val="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1、补贴对象：具有周口市户籍、年龄80周岁及以上的老人，依据本人申请，均可享受高龄津贴。</w:t>
      </w:r>
    </w:p>
    <w:p w14:paraId="3F4CB58E">
      <w:pPr>
        <w:bidi w:val="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2、补贴标准：年满80-89周岁的老人，每人每月50元；年满90-99周岁的老人，每人每月100元；年满100周岁及以上的老人，每人每月300元。</w:t>
      </w:r>
    </w:p>
    <w:p w14:paraId="0A2544A2">
      <w:pPr>
        <w:bidi w:val="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3、补贴形式：高龄津贴的发放通过金融机构实施社会化发放。按每人每季度发放一次，不足一季度的按实际月数发放。</w:t>
      </w:r>
    </w:p>
    <w:p w14:paraId="1E696FDD">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outlineLvl w:val="1"/>
        <w:rPr>
          <w:rFonts w:hint="eastAsia" w:ascii="楷体" w:hAnsi="楷体" w:cs="楷体"/>
          <w:b/>
          <w:bCs/>
          <w:sz w:val="28"/>
          <w:szCs w:val="28"/>
          <w:lang w:val="zh-CN" w:eastAsia="zh-CN"/>
        </w:rPr>
      </w:pPr>
      <w:bookmarkStart w:id="3" w:name="_Toc3584"/>
      <w:bookmarkStart w:id="4" w:name="_Toc15287"/>
      <w:r>
        <w:rPr>
          <w:rFonts w:hint="eastAsia" w:ascii="楷体" w:hAnsi="楷体" w:cs="楷体"/>
          <w:b/>
          <w:bCs/>
          <w:sz w:val="28"/>
          <w:szCs w:val="28"/>
          <w:lang w:val="zh-CN" w:eastAsia="zh-CN"/>
        </w:rPr>
        <w:t>（二）</w:t>
      </w:r>
      <w:bookmarkEnd w:id="3"/>
      <w:r>
        <w:rPr>
          <w:rFonts w:hint="eastAsia" w:ascii="楷体" w:hAnsi="楷体" w:cs="楷体"/>
          <w:b/>
          <w:bCs/>
          <w:sz w:val="28"/>
          <w:szCs w:val="28"/>
          <w:lang w:val="en-US" w:eastAsia="zh-CN"/>
        </w:rPr>
        <w:t>资金来源</w:t>
      </w:r>
      <w:bookmarkEnd w:id="4"/>
      <w:r>
        <w:rPr>
          <w:rFonts w:hint="eastAsia" w:ascii="楷体" w:hAnsi="楷体" w:cs="楷体"/>
          <w:b/>
          <w:bCs/>
          <w:sz w:val="28"/>
          <w:szCs w:val="28"/>
          <w:lang w:val="zh-CN" w:eastAsia="zh-CN"/>
        </w:rPr>
        <w:t xml:space="preserve"> </w:t>
      </w:r>
    </w:p>
    <w:p w14:paraId="24566B75">
      <w:pPr>
        <w:bidi w:val="0"/>
        <w:rPr>
          <w:rFonts w:hint="eastAsia" w:ascii="楷体" w:hAnsi="楷体" w:eastAsia="楷体" w:cs="楷体"/>
          <w:sz w:val="28"/>
          <w:szCs w:val="28"/>
          <w:lang w:val="en-US" w:eastAsia="zh-CN"/>
        </w:rPr>
      </w:pPr>
      <w:bookmarkStart w:id="5" w:name="_Toc14126"/>
      <w:bookmarkStart w:id="6" w:name="_Toc1065"/>
      <w:bookmarkStart w:id="7" w:name="_Toc18429"/>
      <w:bookmarkStart w:id="8" w:name="_Toc1522"/>
      <w:r>
        <w:rPr>
          <w:rFonts w:hint="eastAsia" w:ascii="楷体" w:hAnsi="楷体" w:eastAsia="楷体" w:cs="楷体"/>
          <w:sz w:val="28"/>
          <w:szCs w:val="28"/>
          <w:lang w:val="en-US" w:eastAsia="zh-CN"/>
        </w:rPr>
        <w:t>高龄津贴所需资金由省、市、县财政分级负担。省财政对省辖市的80-89岁老人每人每月补助5元，对90-99岁老人每人每月补助30元，对100岁以上老人每人每月补助150元；省财政对直管县（市）的补助比例在对省辖市补助比例基础上再增加25%，即对80-89岁老人每人每月补助6.25元，对90-99岁老人每人每月补助37.5元，对100岁以上老人每人每月补助187.5元。</w:t>
      </w:r>
    </w:p>
    <w:p w14:paraId="4851E4CD">
      <w:pPr>
        <w:bidi w:val="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市财政对除郸城县、项城市外的县区的补助比例为：对80-89岁老人每人每月补助5元，90-99岁老人每人每月补助30元，100岁以上老人每人每月补助150元。剩余部分由各县区财政负担。郸城县、项城市所需资金除省财政补助以外部分由当地财政负担，市财政不再补助。</w:t>
      </w:r>
      <w:bookmarkEnd w:id="5"/>
      <w:bookmarkEnd w:id="6"/>
      <w:bookmarkEnd w:id="7"/>
      <w:bookmarkEnd w:id="8"/>
    </w:p>
    <w:p w14:paraId="71D09372">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outlineLvl w:val="1"/>
        <w:rPr>
          <w:rFonts w:hint="default" w:ascii="楷体" w:hAnsi="楷体" w:cs="楷体"/>
          <w:b/>
          <w:bCs/>
          <w:sz w:val="28"/>
          <w:szCs w:val="28"/>
          <w:lang w:val="en-US" w:eastAsia="zh-CN"/>
        </w:rPr>
      </w:pPr>
      <w:bookmarkStart w:id="9" w:name="_Toc3569"/>
      <w:bookmarkStart w:id="10" w:name="_Toc15669"/>
      <w:r>
        <w:rPr>
          <w:rFonts w:hint="eastAsia" w:ascii="楷体" w:hAnsi="楷体" w:cs="楷体"/>
          <w:b/>
          <w:bCs/>
          <w:sz w:val="28"/>
          <w:szCs w:val="28"/>
          <w:lang w:val="en-US" w:eastAsia="zh-CN"/>
        </w:rPr>
        <w:t>（三）</w:t>
      </w:r>
      <w:bookmarkEnd w:id="9"/>
      <w:r>
        <w:rPr>
          <w:rFonts w:hint="eastAsia" w:ascii="楷体" w:hAnsi="楷体" w:cs="楷体"/>
          <w:b/>
          <w:bCs/>
          <w:sz w:val="28"/>
          <w:szCs w:val="28"/>
          <w:lang w:val="en-US" w:eastAsia="zh-CN"/>
        </w:rPr>
        <w:t>项目预算</w:t>
      </w:r>
      <w:bookmarkEnd w:id="10"/>
    </w:p>
    <w:p w14:paraId="41E3C47A">
      <w:pPr>
        <w:bidi w:val="0"/>
        <w:ind w:firstLine="840" w:firstLineChars="300"/>
        <w:rPr>
          <w:rFonts w:hint="default" w:ascii="楷体" w:hAnsi="楷体" w:eastAsia="楷体" w:cs="楷体"/>
          <w:sz w:val="28"/>
          <w:szCs w:val="28"/>
          <w:highlight w:val="none"/>
          <w:lang w:val="en-US" w:eastAsia="zh-CN"/>
        </w:rPr>
      </w:pPr>
      <w:r>
        <w:rPr>
          <w:rFonts w:hint="eastAsia" w:ascii="楷体" w:hAnsi="楷体" w:cs="楷体"/>
          <w:sz w:val="28"/>
          <w:szCs w:val="28"/>
          <w:highlight w:val="none"/>
          <w:lang w:val="en-US" w:eastAsia="zh-CN"/>
        </w:rPr>
        <w:t>2020年度，该项目省级财政预算资金2475万元，其中鹿邑县301万元、项城市299万元、郸城县296万元均由省级财政直接拨付，其他10个县（市、区）省级财政预算资金为1579万元, 其中：扶沟县177万元，西华县197万元，商水县218万元，太康县299万元，淮阳区307万元，沈丘县277万元，川汇区47万元，开发区21万元，示范区26万元，港口区10万元。</w:t>
      </w:r>
    </w:p>
    <w:p w14:paraId="245A1A69">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outlineLvl w:val="1"/>
        <w:rPr>
          <w:rFonts w:hint="eastAsia" w:ascii="楷体" w:hAnsi="楷体" w:cs="楷体"/>
          <w:b/>
          <w:bCs/>
          <w:sz w:val="28"/>
          <w:szCs w:val="28"/>
          <w:lang w:val="zh-CN" w:eastAsia="zh-CN"/>
        </w:rPr>
      </w:pPr>
      <w:bookmarkStart w:id="11" w:name="_Toc14748"/>
      <w:bookmarkStart w:id="12" w:name="_Toc11501"/>
      <w:r>
        <w:rPr>
          <w:rFonts w:hint="eastAsia" w:ascii="楷体" w:hAnsi="楷体" w:cs="楷体"/>
          <w:b/>
          <w:bCs/>
          <w:sz w:val="28"/>
          <w:szCs w:val="28"/>
          <w:lang w:val="zh-CN" w:eastAsia="zh-CN"/>
        </w:rPr>
        <w:t>（</w:t>
      </w:r>
      <w:r>
        <w:rPr>
          <w:rFonts w:hint="eastAsia" w:ascii="楷体" w:hAnsi="楷体" w:cs="楷体"/>
          <w:b/>
          <w:bCs/>
          <w:sz w:val="28"/>
          <w:szCs w:val="28"/>
          <w:lang w:val="en-US" w:eastAsia="zh-CN"/>
        </w:rPr>
        <w:t>四</w:t>
      </w:r>
      <w:r>
        <w:rPr>
          <w:rFonts w:hint="eastAsia" w:ascii="楷体" w:hAnsi="楷体" w:cs="楷体"/>
          <w:b/>
          <w:bCs/>
          <w:sz w:val="28"/>
          <w:szCs w:val="28"/>
          <w:lang w:val="zh-CN" w:eastAsia="zh-CN"/>
        </w:rPr>
        <w:t>）项目的组织及管理</w:t>
      </w:r>
      <w:bookmarkEnd w:id="11"/>
      <w:bookmarkEnd w:id="12"/>
    </w:p>
    <w:p w14:paraId="096686BB">
      <w:pPr>
        <w:bidi w:val="0"/>
        <w:rPr>
          <w:rFonts w:hint="eastAsia" w:ascii="楷体" w:hAnsi="楷体" w:eastAsia="楷体" w:cs="楷体"/>
          <w:sz w:val="28"/>
          <w:szCs w:val="28"/>
          <w:lang w:val="en-US" w:eastAsia="zh-CN"/>
        </w:rPr>
      </w:pPr>
      <w:bookmarkStart w:id="13" w:name="_Toc469"/>
      <w:bookmarkStart w:id="14" w:name="_Toc32524"/>
      <w:bookmarkStart w:id="15" w:name="_Toc19171"/>
      <w:bookmarkStart w:id="16" w:name="_Toc17621"/>
      <w:bookmarkStart w:id="17" w:name="_Toc6253"/>
      <w:bookmarkStart w:id="18" w:name="_Toc30251"/>
      <w:bookmarkStart w:id="19" w:name="_Toc16812"/>
      <w:r>
        <w:rPr>
          <w:rFonts w:hint="eastAsia" w:ascii="楷体" w:hAnsi="楷体" w:eastAsia="楷体" w:cs="楷体"/>
          <w:sz w:val="28"/>
          <w:szCs w:val="28"/>
          <w:lang w:val="en-US" w:eastAsia="zh-CN"/>
        </w:rPr>
        <w:t>全面建立并进一步完善80周岁及以上老人高龄津贴制度，对保障和改善民</w:t>
      </w:r>
      <w:r>
        <w:rPr>
          <w:rFonts w:hint="eastAsia" w:ascii="楷体" w:hAnsi="楷体" w:cs="楷体"/>
          <w:sz w:val="28"/>
          <w:szCs w:val="28"/>
          <w:lang w:val="en-US" w:eastAsia="zh-CN"/>
        </w:rPr>
        <w:t>生</w:t>
      </w:r>
      <w:r>
        <w:rPr>
          <w:rFonts w:hint="eastAsia" w:ascii="楷体" w:hAnsi="楷体" w:eastAsia="楷体" w:cs="楷体"/>
          <w:sz w:val="28"/>
          <w:szCs w:val="28"/>
          <w:lang w:val="en-US" w:eastAsia="zh-CN"/>
        </w:rPr>
        <w:t>工作和养老服务工作发挥了积极的作用。各级民政部、财政部建立起了协同工作机制，对高龄津贴实行动态管理。</w:t>
      </w:r>
    </w:p>
    <w:p w14:paraId="4FCB07FB">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outlineLvl w:val="2"/>
        <w:rPr>
          <w:rFonts w:hint="default" w:ascii="Times New Roman" w:hAnsi="Times New Roman" w:eastAsia="楷体_GB2312" w:cs="Times New Roman"/>
          <w:sz w:val="28"/>
          <w:szCs w:val="28"/>
          <w:highlight w:val="none"/>
          <w:lang w:val="en-US" w:eastAsia="zh-CN"/>
        </w:rPr>
      </w:pPr>
      <w:r>
        <w:rPr>
          <w:rFonts w:hint="default" w:ascii="Times New Roman" w:hAnsi="Times New Roman" w:eastAsia="楷体_GB2312" w:cs="Times New Roman"/>
          <w:sz w:val="28"/>
          <w:szCs w:val="28"/>
          <w:highlight w:val="none"/>
          <w:lang w:val="en-US" w:eastAsia="zh-CN"/>
        </w:rPr>
        <w:t>（1）申请及复核</w:t>
      </w:r>
    </w:p>
    <w:p w14:paraId="7244A1B0">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default" w:ascii="Times New Roman" w:hAnsi="Times New Roman" w:eastAsia="楷体_GB2312" w:cs="Times New Roman"/>
          <w:sz w:val="28"/>
          <w:szCs w:val="28"/>
          <w:highlight w:val="none"/>
          <w:lang w:val="en-US" w:eastAsia="zh-CN"/>
        </w:rPr>
      </w:pPr>
      <w:r>
        <w:rPr>
          <w:rFonts w:hint="default" w:ascii="Times New Roman" w:hAnsi="Times New Roman" w:eastAsia="楷体_GB2312" w:cs="Times New Roman"/>
          <w:sz w:val="28"/>
          <w:szCs w:val="28"/>
          <w:highlight w:val="none"/>
          <w:lang w:val="en-US" w:eastAsia="zh-CN"/>
        </w:rPr>
        <w:t>申请工作原则上由</w:t>
      </w:r>
      <w:r>
        <w:rPr>
          <w:rFonts w:hint="eastAsia" w:ascii="Times New Roman" w:hAnsi="Times New Roman" w:eastAsia="楷体_GB2312" w:cs="Times New Roman"/>
          <w:sz w:val="28"/>
          <w:szCs w:val="28"/>
          <w:highlight w:val="none"/>
          <w:lang w:val="en-US" w:eastAsia="zh-CN"/>
        </w:rPr>
        <w:t>高龄老人凭二代身份证、户口本</w:t>
      </w:r>
      <w:r>
        <w:rPr>
          <w:rFonts w:hint="default" w:ascii="Times New Roman" w:hAnsi="Times New Roman" w:eastAsia="楷体_GB2312" w:cs="Times New Roman"/>
          <w:sz w:val="28"/>
          <w:szCs w:val="28"/>
          <w:highlight w:val="none"/>
          <w:lang w:val="en-US" w:eastAsia="zh-CN"/>
        </w:rPr>
        <w:t>向户籍所在地申请，也可由</w:t>
      </w:r>
      <w:r>
        <w:rPr>
          <w:rFonts w:hint="eastAsia" w:ascii="Times New Roman" w:hAnsi="Times New Roman" w:eastAsia="楷体_GB2312" w:cs="Times New Roman"/>
          <w:sz w:val="28"/>
          <w:szCs w:val="28"/>
          <w:highlight w:val="none"/>
          <w:lang w:val="en-US" w:eastAsia="zh-CN"/>
        </w:rPr>
        <w:t>高龄老人委托亲属或</w:t>
      </w:r>
      <w:r>
        <w:rPr>
          <w:rFonts w:hint="default" w:ascii="Times New Roman" w:hAnsi="Times New Roman" w:eastAsia="楷体_GB2312" w:cs="Times New Roman"/>
          <w:sz w:val="28"/>
          <w:szCs w:val="28"/>
          <w:highlight w:val="none"/>
          <w:lang w:val="en-US" w:eastAsia="zh-CN"/>
        </w:rPr>
        <w:t>其他人</w:t>
      </w:r>
      <w:r>
        <w:rPr>
          <w:rFonts w:hint="eastAsia" w:ascii="Times New Roman" w:hAnsi="Times New Roman" w:eastAsia="楷体_GB2312" w:cs="Times New Roman"/>
          <w:sz w:val="28"/>
          <w:szCs w:val="28"/>
          <w:highlight w:val="none"/>
          <w:lang w:val="en-US" w:eastAsia="zh-CN"/>
        </w:rPr>
        <w:t>员</w:t>
      </w:r>
      <w:r>
        <w:rPr>
          <w:rFonts w:hint="default" w:ascii="Times New Roman" w:hAnsi="Times New Roman" w:eastAsia="楷体_GB2312" w:cs="Times New Roman"/>
          <w:sz w:val="28"/>
          <w:szCs w:val="28"/>
          <w:highlight w:val="none"/>
          <w:lang w:val="en-US" w:eastAsia="zh-CN"/>
        </w:rPr>
        <w:t>代为申请，</w:t>
      </w:r>
      <w:r>
        <w:rPr>
          <w:rFonts w:hint="eastAsia" w:ascii="Times New Roman" w:hAnsi="Times New Roman" w:eastAsia="楷体_GB2312" w:cs="Times New Roman"/>
          <w:sz w:val="28"/>
          <w:szCs w:val="28"/>
          <w:highlight w:val="none"/>
          <w:lang w:val="en-US" w:eastAsia="zh-CN"/>
        </w:rPr>
        <w:t>社区（村）委会</w:t>
      </w:r>
      <w:r>
        <w:rPr>
          <w:rFonts w:hint="default" w:ascii="Times New Roman" w:hAnsi="Times New Roman" w:eastAsia="楷体_GB2312" w:cs="Times New Roman"/>
          <w:sz w:val="28"/>
          <w:szCs w:val="28"/>
          <w:highlight w:val="none"/>
          <w:lang w:val="en-US" w:eastAsia="zh-CN"/>
        </w:rPr>
        <w:t>受理申请后，</w:t>
      </w:r>
      <w:r>
        <w:rPr>
          <w:rFonts w:hint="eastAsia" w:ascii="Times New Roman" w:hAnsi="Times New Roman" w:eastAsia="楷体_GB2312" w:cs="Times New Roman"/>
          <w:sz w:val="28"/>
          <w:szCs w:val="28"/>
          <w:highlight w:val="none"/>
          <w:lang w:val="en-US" w:eastAsia="zh-CN"/>
        </w:rPr>
        <w:t>按照程序认真审核</w:t>
      </w:r>
      <w:r>
        <w:rPr>
          <w:rFonts w:hint="default" w:ascii="Times New Roman" w:hAnsi="Times New Roman" w:eastAsia="楷体_GB2312" w:cs="Times New Roman"/>
          <w:sz w:val="28"/>
          <w:szCs w:val="28"/>
          <w:highlight w:val="none"/>
          <w:lang w:val="en-US" w:eastAsia="zh-CN"/>
        </w:rPr>
        <w:t>，</w:t>
      </w:r>
      <w:r>
        <w:rPr>
          <w:rFonts w:hint="eastAsia" w:ascii="Times New Roman" w:hAnsi="Times New Roman" w:eastAsia="楷体_GB2312" w:cs="Times New Roman"/>
          <w:sz w:val="28"/>
          <w:szCs w:val="28"/>
          <w:highlight w:val="none"/>
          <w:lang w:val="en-US" w:eastAsia="zh-CN"/>
        </w:rPr>
        <w:t>审核无异议的，将申请资料报送乡镇（街道）民政部门审核，乡镇（街道）民政部门审核无误后录入系统，</w:t>
      </w:r>
      <w:r>
        <w:rPr>
          <w:rFonts w:hint="default" w:ascii="Times New Roman" w:hAnsi="Times New Roman" w:eastAsia="楷体_GB2312" w:cs="Times New Roman"/>
          <w:sz w:val="28"/>
          <w:szCs w:val="28"/>
          <w:highlight w:val="none"/>
          <w:lang w:val="en-US" w:eastAsia="zh-CN"/>
        </w:rPr>
        <w:t>材料再报</w:t>
      </w:r>
      <w:r>
        <w:rPr>
          <w:rFonts w:hint="eastAsia" w:ascii="Times New Roman" w:hAnsi="Times New Roman" w:eastAsia="楷体_GB2312" w:cs="Times New Roman"/>
          <w:sz w:val="28"/>
          <w:szCs w:val="28"/>
          <w:highlight w:val="none"/>
          <w:lang w:val="en-US" w:eastAsia="zh-CN"/>
        </w:rPr>
        <w:t>县市区民政部门审批</w:t>
      </w:r>
      <w:r>
        <w:rPr>
          <w:rFonts w:hint="default" w:ascii="Times New Roman" w:hAnsi="Times New Roman" w:eastAsia="楷体_GB2312" w:cs="Times New Roman"/>
          <w:sz w:val="28"/>
          <w:szCs w:val="28"/>
          <w:highlight w:val="none"/>
          <w:lang w:val="en-US" w:eastAsia="zh-CN"/>
        </w:rPr>
        <w:t>，县市区民政部门</w:t>
      </w:r>
      <w:r>
        <w:rPr>
          <w:rFonts w:hint="eastAsia" w:ascii="Times New Roman" w:hAnsi="Times New Roman" w:eastAsia="楷体_GB2312" w:cs="Times New Roman"/>
          <w:sz w:val="28"/>
          <w:szCs w:val="28"/>
          <w:highlight w:val="none"/>
          <w:lang w:val="en-US" w:eastAsia="zh-CN"/>
        </w:rPr>
        <w:t>5</w:t>
      </w:r>
      <w:r>
        <w:rPr>
          <w:rFonts w:hint="default" w:ascii="Times New Roman" w:hAnsi="Times New Roman" w:eastAsia="楷体_GB2312" w:cs="Times New Roman"/>
          <w:sz w:val="28"/>
          <w:szCs w:val="28"/>
          <w:highlight w:val="none"/>
          <w:lang w:val="en-US" w:eastAsia="zh-CN"/>
        </w:rPr>
        <w:t>个工作日内</w:t>
      </w:r>
      <w:r>
        <w:rPr>
          <w:rFonts w:hint="eastAsia" w:ascii="Times New Roman" w:hAnsi="Times New Roman" w:eastAsia="楷体_GB2312" w:cs="Times New Roman"/>
          <w:sz w:val="28"/>
          <w:szCs w:val="28"/>
          <w:highlight w:val="none"/>
          <w:lang w:val="en-US" w:eastAsia="zh-CN"/>
        </w:rPr>
        <w:t>办结复核审批</w:t>
      </w:r>
      <w:r>
        <w:rPr>
          <w:rFonts w:hint="default" w:ascii="Times New Roman" w:hAnsi="Times New Roman" w:eastAsia="楷体_GB2312" w:cs="Times New Roman"/>
          <w:sz w:val="28"/>
          <w:szCs w:val="28"/>
          <w:highlight w:val="none"/>
          <w:lang w:val="en-US" w:eastAsia="zh-CN"/>
        </w:rPr>
        <w:t>。</w:t>
      </w:r>
    </w:p>
    <w:p w14:paraId="5225E72B">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outlineLvl w:val="2"/>
        <w:rPr>
          <w:rFonts w:hint="default" w:ascii="Times New Roman" w:hAnsi="Times New Roman" w:eastAsia="楷体_GB2312" w:cs="Times New Roman"/>
          <w:sz w:val="28"/>
          <w:szCs w:val="28"/>
          <w:highlight w:val="none"/>
          <w:lang w:val="en-US" w:eastAsia="zh-CN"/>
        </w:rPr>
      </w:pPr>
      <w:r>
        <w:rPr>
          <w:rFonts w:hint="default" w:ascii="Times New Roman" w:hAnsi="Times New Roman" w:eastAsia="楷体_GB2312" w:cs="Times New Roman"/>
          <w:sz w:val="28"/>
          <w:szCs w:val="28"/>
          <w:highlight w:val="none"/>
          <w:lang w:val="en-US" w:eastAsia="zh-CN"/>
        </w:rPr>
        <w:t>（2）补贴发放补贴</w:t>
      </w:r>
    </w:p>
    <w:p w14:paraId="71A7D957">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default" w:ascii="Times New Roman" w:hAnsi="Times New Roman" w:eastAsia="楷体_GB2312" w:cs="Times New Roman"/>
          <w:sz w:val="28"/>
          <w:szCs w:val="28"/>
          <w:highlight w:val="none"/>
          <w:lang w:val="en-US" w:eastAsia="zh-CN"/>
        </w:rPr>
      </w:pPr>
      <w:r>
        <w:rPr>
          <w:rFonts w:hint="eastAsia" w:ascii="Times New Roman" w:hAnsi="Times New Roman" w:eastAsia="楷体_GB2312" w:cs="Times New Roman"/>
          <w:sz w:val="28"/>
          <w:szCs w:val="28"/>
          <w:highlight w:val="none"/>
          <w:lang w:val="en-US" w:eastAsia="zh-CN"/>
        </w:rPr>
        <w:t>高龄津贴的发放通过金融机构实施社会化发放</w:t>
      </w:r>
      <w:r>
        <w:rPr>
          <w:rFonts w:hint="default" w:ascii="Times New Roman" w:hAnsi="Times New Roman" w:eastAsia="楷体_GB2312" w:cs="Times New Roman"/>
          <w:sz w:val="28"/>
          <w:szCs w:val="28"/>
          <w:highlight w:val="none"/>
          <w:lang w:val="en-US" w:eastAsia="zh-CN"/>
        </w:rPr>
        <w:t>。</w:t>
      </w:r>
      <w:r>
        <w:rPr>
          <w:rFonts w:hint="eastAsia" w:ascii="Times New Roman" w:hAnsi="Times New Roman" w:eastAsia="楷体_GB2312" w:cs="Times New Roman"/>
          <w:sz w:val="28"/>
          <w:szCs w:val="28"/>
          <w:highlight w:val="none"/>
          <w:lang w:val="en-US" w:eastAsia="zh-CN"/>
        </w:rPr>
        <w:t>按每人每季度发放一次，不足一季度的按实际月数发放。</w:t>
      </w:r>
    </w:p>
    <w:p w14:paraId="441D4607">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outlineLvl w:val="2"/>
        <w:rPr>
          <w:rFonts w:hint="default" w:ascii="Times New Roman" w:hAnsi="Times New Roman" w:eastAsia="楷体_GB2312" w:cs="Times New Roman"/>
          <w:sz w:val="28"/>
          <w:szCs w:val="28"/>
          <w:highlight w:val="none"/>
          <w:lang w:val="en-US" w:eastAsia="zh-CN"/>
        </w:rPr>
      </w:pPr>
      <w:r>
        <w:rPr>
          <w:rFonts w:hint="default" w:ascii="Times New Roman" w:hAnsi="Times New Roman" w:eastAsia="楷体_GB2312" w:cs="Times New Roman"/>
          <w:sz w:val="28"/>
          <w:szCs w:val="28"/>
          <w:highlight w:val="none"/>
          <w:lang w:val="en-US" w:eastAsia="zh-CN"/>
        </w:rPr>
        <w:t>（3）管理</w:t>
      </w:r>
    </w:p>
    <w:bookmarkEnd w:id="13"/>
    <w:bookmarkEnd w:id="14"/>
    <w:bookmarkEnd w:id="15"/>
    <w:bookmarkEnd w:id="16"/>
    <w:bookmarkEnd w:id="17"/>
    <w:bookmarkEnd w:id="18"/>
    <w:bookmarkEnd w:id="19"/>
    <w:p w14:paraId="1E3CE466">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default" w:ascii="Times New Roman" w:hAnsi="Times New Roman" w:eastAsia="楷体_GB2312" w:cs="Times New Roman"/>
          <w:sz w:val="28"/>
          <w:szCs w:val="28"/>
          <w:highlight w:val="none"/>
          <w:lang w:val="en-US" w:eastAsia="zh-CN"/>
        </w:rPr>
      </w:pPr>
      <w:bookmarkStart w:id="20" w:name="_Toc4883"/>
      <w:r>
        <w:rPr>
          <w:rFonts w:hint="default" w:ascii="Times New Roman" w:hAnsi="Times New Roman" w:eastAsia="楷体_GB2312" w:cs="Times New Roman"/>
          <w:sz w:val="28"/>
          <w:szCs w:val="28"/>
          <w:highlight w:val="none"/>
          <w:lang w:val="en-US" w:eastAsia="zh-CN"/>
        </w:rPr>
        <w:t>全面建立并进一步完善80周岁及以上老人高龄津贴制度，对保障和改善民</w:t>
      </w:r>
      <w:r>
        <w:rPr>
          <w:rFonts w:hint="eastAsia" w:ascii="Times New Roman" w:hAnsi="Times New Roman" w:eastAsia="楷体_GB2312" w:cs="Times New Roman"/>
          <w:sz w:val="28"/>
          <w:szCs w:val="28"/>
          <w:highlight w:val="none"/>
          <w:lang w:val="en-US" w:eastAsia="zh-CN"/>
        </w:rPr>
        <w:t>生</w:t>
      </w:r>
      <w:r>
        <w:rPr>
          <w:rFonts w:hint="default" w:ascii="Times New Roman" w:hAnsi="Times New Roman" w:eastAsia="楷体_GB2312" w:cs="Times New Roman"/>
          <w:sz w:val="28"/>
          <w:szCs w:val="28"/>
          <w:highlight w:val="none"/>
          <w:lang w:val="en-US" w:eastAsia="zh-CN"/>
        </w:rPr>
        <w:t>工作和养老服务工作发挥了积极的作用。各级民政部、财政部建立起了协同工作机制，对高龄津贴实行动态管理。</w:t>
      </w:r>
    </w:p>
    <w:p w14:paraId="1348C8CC">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default" w:ascii="Times New Roman" w:hAnsi="Times New Roman" w:eastAsia="楷体_GB2312" w:cs="Times New Roman"/>
          <w:sz w:val="28"/>
          <w:szCs w:val="28"/>
          <w:highlight w:val="none"/>
          <w:lang w:val="en-US" w:eastAsia="zh-CN"/>
        </w:rPr>
      </w:pPr>
      <w:r>
        <w:rPr>
          <w:rFonts w:hint="default" w:ascii="Times New Roman" w:hAnsi="Times New Roman" w:eastAsia="楷体_GB2312" w:cs="Times New Roman"/>
          <w:sz w:val="28"/>
          <w:szCs w:val="28"/>
          <w:highlight w:val="none"/>
          <w:lang w:val="en-US" w:eastAsia="zh-CN"/>
        </w:rPr>
        <w:t>1、市级民政部门、财政部门定期不定期抽查，县市区民政、财政部门定期检查核查，确保进出合理有序，不漏发、不多发。</w:t>
      </w:r>
    </w:p>
    <w:p w14:paraId="3E49F3DF">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default" w:ascii="Times New Roman" w:hAnsi="Times New Roman" w:eastAsia="楷体_GB2312" w:cs="Times New Roman"/>
          <w:sz w:val="28"/>
          <w:szCs w:val="28"/>
          <w:highlight w:val="none"/>
          <w:lang w:val="en-US" w:eastAsia="zh-CN"/>
        </w:rPr>
      </w:pPr>
      <w:r>
        <w:rPr>
          <w:rFonts w:hint="default" w:ascii="Times New Roman" w:hAnsi="Times New Roman" w:eastAsia="楷体_GB2312" w:cs="Times New Roman"/>
          <w:sz w:val="28"/>
          <w:szCs w:val="28"/>
          <w:highlight w:val="none"/>
          <w:lang w:val="en-US" w:eastAsia="zh-CN"/>
        </w:rPr>
        <w:t>2、各级民政部门负责做好对高龄老人津贴申报、审批、发放和信息档案建立的组织管理、指导和协调工作。并建立完善高龄老人信息库，与当地公安户籍管理部门、殡仪馆等单位建立信息共享机制，定期进行信息对比，及时更新相关数据。</w:t>
      </w:r>
    </w:p>
    <w:p w14:paraId="197FF744">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default" w:ascii="Times New Roman" w:hAnsi="Times New Roman" w:eastAsia="楷体_GB2312" w:cs="Times New Roman"/>
          <w:sz w:val="28"/>
          <w:szCs w:val="28"/>
          <w:highlight w:val="none"/>
          <w:lang w:val="en-US" w:eastAsia="zh-CN"/>
        </w:rPr>
      </w:pPr>
      <w:r>
        <w:rPr>
          <w:rFonts w:hint="default" w:ascii="Times New Roman" w:hAnsi="Times New Roman" w:eastAsia="楷体_GB2312" w:cs="Times New Roman"/>
          <w:sz w:val="28"/>
          <w:szCs w:val="28"/>
          <w:highlight w:val="none"/>
          <w:lang w:val="en-US" w:eastAsia="zh-CN"/>
        </w:rPr>
        <w:t>3、财政部门加强资金保障和监管，落实分级负担的要求，及时足额拨付补贴资金及工作经费，确保80周岁及以上老人高龄津贴工作的顺利实施。</w:t>
      </w:r>
    </w:p>
    <w:p w14:paraId="5B1407F5">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outlineLvl w:val="1"/>
        <w:rPr>
          <w:rFonts w:hint="eastAsia" w:ascii="楷体" w:hAnsi="楷体" w:cs="楷体"/>
          <w:b/>
          <w:bCs/>
          <w:sz w:val="28"/>
          <w:szCs w:val="28"/>
          <w:lang w:val="zh-CN" w:eastAsia="zh-CN"/>
        </w:rPr>
      </w:pPr>
      <w:bookmarkStart w:id="21" w:name="_Toc20765"/>
      <w:r>
        <w:rPr>
          <w:rFonts w:hint="eastAsia" w:ascii="楷体" w:hAnsi="楷体" w:cs="楷体"/>
          <w:b/>
          <w:bCs/>
          <w:sz w:val="28"/>
          <w:szCs w:val="28"/>
          <w:lang w:val="zh-CN" w:eastAsia="zh-CN"/>
        </w:rPr>
        <w:t>（</w:t>
      </w:r>
      <w:r>
        <w:rPr>
          <w:rFonts w:hint="eastAsia" w:ascii="楷体" w:hAnsi="楷体" w:cs="楷体"/>
          <w:b/>
          <w:bCs/>
          <w:sz w:val="28"/>
          <w:szCs w:val="28"/>
          <w:lang w:val="en-US" w:eastAsia="zh-CN"/>
        </w:rPr>
        <w:t>五</w:t>
      </w:r>
      <w:r>
        <w:rPr>
          <w:rFonts w:hint="eastAsia" w:ascii="楷体" w:hAnsi="楷体" w:cs="楷体"/>
          <w:b/>
          <w:bCs/>
          <w:sz w:val="28"/>
          <w:szCs w:val="28"/>
          <w:lang w:val="zh-CN" w:eastAsia="zh-CN"/>
        </w:rPr>
        <w:t>）项目绩效目标</w:t>
      </w:r>
      <w:bookmarkEnd w:id="20"/>
      <w:bookmarkEnd w:id="21"/>
    </w:p>
    <w:p w14:paraId="4F8471B6">
      <w:pPr>
        <w:bidi w:val="0"/>
        <w:outlineLvl w:val="2"/>
        <w:rPr>
          <w:rFonts w:hint="eastAsia" w:ascii="Times New Roman" w:hAnsi="Times New Roman" w:eastAsia="楷体_GB2312" w:cs="Times New Roman"/>
          <w:kern w:val="2"/>
          <w:sz w:val="28"/>
          <w:szCs w:val="28"/>
          <w:highlight w:val="none"/>
          <w:lang w:val="en-US" w:eastAsia="zh-CN" w:bidi="ar-SA"/>
        </w:rPr>
      </w:pPr>
      <w:r>
        <w:rPr>
          <w:rFonts w:hint="eastAsia" w:ascii="Times New Roman" w:hAnsi="Times New Roman" w:eastAsia="楷体_GB2312" w:cs="Times New Roman"/>
          <w:kern w:val="2"/>
          <w:sz w:val="28"/>
          <w:szCs w:val="28"/>
          <w:highlight w:val="none"/>
          <w:lang w:val="en-US" w:eastAsia="zh-CN" w:bidi="ar-SA"/>
        </w:rPr>
        <w:t>1、总体目标</w:t>
      </w:r>
    </w:p>
    <w:p w14:paraId="4FF532B9">
      <w:pPr>
        <w:bidi w:val="0"/>
        <w:rPr>
          <w:rFonts w:hint="eastAsia" w:ascii="Times New Roman" w:hAnsi="Times New Roman" w:eastAsia="楷体_GB2312" w:cs="Times New Roman"/>
          <w:kern w:val="2"/>
          <w:sz w:val="28"/>
          <w:szCs w:val="28"/>
          <w:highlight w:val="none"/>
          <w:lang w:val="en-US" w:eastAsia="zh-CN" w:bidi="ar-SA"/>
        </w:rPr>
      </w:pPr>
      <w:r>
        <w:rPr>
          <w:rFonts w:hint="eastAsia" w:ascii="Times New Roman" w:hAnsi="Times New Roman" w:eastAsia="楷体_GB2312" w:cs="Times New Roman"/>
          <w:kern w:val="2"/>
          <w:sz w:val="28"/>
          <w:szCs w:val="28"/>
          <w:highlight w:val="none"/>
          <w:lang w:val="en-US" w:eastAsia="zh-CN" w:bidi="ar-SA"/>
        </w:rPr>
        <w:t>以习近平新时代中国特色社会主义思想为指导，全面贯彻党的十九大和十九届二中、三中、四中、五中全会精神，立足新发展阶段，贯彻新发展理念，服务构建新发展格局，认真落实《河南省老年人权益保障条例》，进一步健全80周岁及以上老人社会福利制度，提高80周岁及以上老人的生活质量，推动80周岁及以上老人补贴制度高质量发展。</w:t>
      </w:r>
    </w:p>
    <w:p w14:paraId="29952912">
      <w:pPr>
        <w:pStyle w:val="2"/>
        <w:outlineLvl w:val="2"/>
        <w:rPr>
          <w:rFonts w:hint="eastAsia" w:ascii="Times New Roman" w:hAnsi="Times New Roman" w:eastAsia="楷体_GB2312" w:cs="Times New Roman"/>
          <w:kern w:val="2"/>
          <w:sz w:val="28"/>
          <w:szCs w:val="28"/>
          <w:highlight w:val="none"/>
          <w:lang w:val="en-US" w:eastAsia="zh-CN" w:bidi="ar-SA"/>
        </w:rPr>
      </w:pPr>
      <w:r>
        <w:rPr>
          <w:rFonts w:hint="eastAsia" w:ascii="Times New Roman" w:hAnsi="Times New Roman" w:eastAsia="楷体_GB2312" w:cs="Times New Roman"/>
          <w:kern w:val="2"/>
          <w:sz w:val="28"/>
          <w:szCs w:val="28"/>
          <w:highlight w:val="none"/>
          <w:lang w:val="en-US" w:eastAsia="zh-CN" w:bidi="ar-SA"/>
        </w:rPr>
        <w:t>2、年度绩效目标</w:t>
      </w:r>
    </w:p>
    <w:p w14:paraId="09DB043A">
      <w:pPr>
        <w:bidi w:val="0"/>
        <w:rPr>
          <w:rFonts w:hint="eastAsia" w:ascii="Times New Roman" w:hAnsi="Times New Roman" w:eastAsia="楷体_GB2312" w:cs="Times New Roman"/>
          <w:kern w:val="2"/>
          <w:sz w:val="28"/>
          <w:szCs w:val="28"/>
          <w:highlight w:val="none"/>
          <w:lang w:val="en-US" w:eastAsia="zh-CN" w:bidi="ar-SA"/>
        </w:rPr>
      </w:pPr>
      <w:r>
        <w:rPr>
          <w:rFonts w:hint="eastAsia" w:ascii="Times New Roman" w:hAnsi="Times New Roman" w:eastAsia="楷体_GB2312" w:cs="Times New Roman"/>
          <w:kern w:val="2"/>
          <w:sz w:val="28"/>
          <w:szCs w:val="28"/>
          <w:highlight w:val="none"/>
          <w:lang w:val="en-US" w:eastAsia="zh-CN" w:bidi="ar-SA"/>
        </w:rPr>
        <w:t>2020年度周口市80周岁及以上老人高龄津贴经费支出的年度绩效目标包括：</w:t>
      </w:r>
    </w:p>
    <w:p w14:paraId="598B0AEB">
      <w:pPr>
        <w:bidi w:val="0"/>
        <w:rPr>
          <w:rFonts w:hint="eastAsia" w:ascii="Times New Roman" w:hAnsi="Times New Roman" w:eastAsia="楷体_GB2312" w:cs="Times New Roman"/>
          <w:kern w:val="2"/>
          <w:sz w:val="28"/>
          <w:szCs w:val="28"/>
          <w:highlight w:val="none"/>
          <w:lang w:val="en-US" w:eastAsia="zh-CN" w:bidi="ar-SA"/>
        </w:rPr>
      </w:pPr>
      <w:r>
        <w:rPr>
          <w:rFonts w:hint="eastAsia" w:ascii="Times New Roman" w:hAnsi="Times New Roman" w:eastAsia="楷体_GB2312" w:cs="Times New Roman"/>
          <w:kern w:val="2"/>
          <w:sz w:val="28"/>
          <w:szCs w:val="28"/>
          <w:highlight w:val="none"/>
          <w:lang w:val="en-US" w:eastAsia="zh-CN" w:bidi="ar-SA"/>
        </w:rPr>
        <w:t>1、提高思想认识、认真抓好落实；</w:t>
      </w:r>
    </w:p>
    <w:p w14:paraId="4BF7EAF3">
      <w:pPr>
        <w:bidi w:val="0"/>
        <w:rPr>
          <w:rFonts w:hint="eastAsia" w:ascii="Times New Roman" w:hAnsi="Times New Roman" w:eastAsia="楷体_GB2312" w:cs="Times New Roman"/>
          <w:kern w:val="2"/>
          <w:sz w:val="28"/>
          <w:szCs w:val="28"/>
          <w:highlight w:val="none"/>
          <w:lang w:val="en-US" w:eastAsia="zh-CN" w:bidi="ar-SA"/>
        </w:rPr>
      </w:pPr>
      <w:r>
        <w:rPr>
          <w:rFonts w:hint="eastAsia" w:ascii="Times New Roman" w:hAnsi="Times New Roman" w:eastAsia="楷体_GB2312" w:cs="Times New Roman"/>
          <w:kern w:val="2"/>
          <w:sz w:val="28"/>
          <w:szCs w:val="28"/>
          <w:highlight w:val="none"/>
          <w:lang w:val="en-US" w:eastAsia="zh-CN" w:bidi="ar-SA"/>
        </w:rPr>
        <w:t>2、不断完善机制，按时发放高龄津贴资金；</w:t>
      </w:r>
    </w:p>
    <w:p w14:paraId="3AAEB02E">
      <w:pPr>
        <w:bidi w:val="0"/>
        <w:rPr>
          <w:rFonts w:hint="eastAsia" w:ascii="Times New Roman" w:hAnsi="Times New Roman" w:eastAsia="楷体_GB2312" w:cs="Times New Roman"/>
          <w:kern w:val="2"/>
          <w:sz w:val="28"/>
          <w:szCs w:val="28"/>
          <w:highlight w:val="none"/>
          <w:lang w:val="en-US" w:eastAsia="zh-CN" w:bidi="ar-SA"/>
        </w:rPr>
      </w:pPr>
      <w:r>
        <w:rPr>
          <w:rFonts w:hint="eastAsia" w:ascii="Times New Roman" w:hAnsi="Times New Roman" w:eastAsia="楷体_GB2312" w:cs="Times New Roman"/>
          <w:kern w:val="2"/>
          <w:sz w:val="28"/>
          <w:szCs w:val="28"/>
          <w:highlight w:val="none"/>
          <w:lang w:val="en-US" w:eastAsia="zh-CN" w:bidi="ar-SA"/>
        </w:rPr>
        <w:t>3、精准核对数据，简化申请和定期审核程序，提高资金使用准确性；</w:t>
      </w:r>
    </w:p>
    <w:p w14:paraId="11A0C279">
      <w:pPr>
        <w:bidi w:val="0"/>
        <w:rPr>
          <w:rFonts w:hint="eastAsia" w:ascii="Times New Roman" w:hAnsi="Times New Roman" w:eastAsia="楷体_GB2312" w:cs="Times New Roman"/>
          <w:kern w:val="2"/>
          <w:sz w:val="28"/>
          <w:szCs w:val="28"/>
          <w:highlight w:val="none"/>
          <w:lang w:val="en-US" w:eastAsia="zh-CN" w:bidi="ar-SA"/>
        </w:rPr>
      </w:pPr>
      <w:r>
        <w:rPr>
          <w:rFonts w:hint="eastAsia" w:ascii="Times New Roman" w:hAnsi="Times New Roman" w:eastAsia="楷体_GB2312" w:cs="Times New Roman"/>
          <w:kern w:val="2"/>
          <w:sz w:val="28"/>
          <w:szCs w:val="28"/>
          <w:highlight w:val="none"/>
          <w:lang w:val="en-US" w:eastAsia="zh-CN" w:bidi="ar-SA"/>
        </w:rPr>
        <w:t>4、加强督促检查，接受社会各界监督和有关部门检查。</w:t>
      </w:r>
    </w:p>
    <w:p w14:paraId="5BD31715">
      <w:pPr>
        <w:bidi w:val="0"/>
        <w:rPr>
          <w:rFonts w:hint="eastAsia" w:ascii="Times New Roman" w:hAnsi="Times New Roman" w:eastAsia="楷体_GB2312" w:cs="Times New Roman"/>
          <w:kern w:val="2"/>
          <w:sz w:val="28"/>
          <w:szCs w:val="28"/>
          <w:highlight w:val="none"/>
          <w:lang w:val="en-US" w:eastAsia="zh-CN" w:bidi="ar-SA"/>
        </w:rPr>
      </w:pPr>
      <w:r>
        <w:rPr>
          <w:rFonts w:hint="eastAsia" w:ascii="Times New Roman" w:hAnsi="Times New Roman" w:eastAsia="楷体_GB2312" w:cs="Times New Roman"/>
          <w:kern w:val="2"/>
          <w:sz w:val="28"/>
          <w:szCs w:val="28"/>
          <w:highlight w:val="none"/>
          <w:lang w:val="en-US" w:eastAsia="zh-CN" w:bidi="ar-SA"/>
        </w:rPr>
        <w:t>通过高龄津贴的发放，提高全市80周岁及以上老年人的生活水平。</w:t>
      </w:r>
    </w:p>
    <w:p w14:paraId="7E156922">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0" w:firstLineChars="0"/>
        <w:textAlignment w:val="auto"/>
        <w:outlineLvl w:val="0"/>
        <w:rPr>
          <w:rFonts w:hint="eastAsia" w:ascii="楷体" w:hAnsi="楷体" w:cs="楷体"/>
          <w:b/>
          <w:bCs/>
          <w:sz w:val="28"/>
          <w:szCs w:val="28"/>
          <w:lang w:val="zh-CN" w:eastAsia="zh-CN"/>
        </w:rPr>
      </w:pPr>
      <w:bookmarkStart w:id="22" w:name="_Toc10956"/>
      <w:r>
        <w:rPr>
          <w:rFonts w:hint="eastAsia" w:ascii="楷体" w:hAnsi="楷体" w:cs="楷体"/>
          <w:b/>
          <w:bCs/>
          <w:sz w:val="28"/>
          <w:szCs w:val="28"/>
          <w:lang w:val="zh-CN" w:eastAsia="zh-CN"/>
        </w:rPr>
        <w:t>绩效评价目的和依据</w:t>
      </w:r>
      <w:bookmarkEnd w:id="22"/>
    </w:p>
    <w:p w14:paraId="0564D2EA">
      <w:pPr>
        <w:bidi w:val="0"/>
        <w:rPr>
          <w:rFonts w:hint="eastAsia" w:ascii="楷体" w:hAnsi="楷体" w:eastAsia="楷体" w:cs="楷体"/>
          <w:lang w:val="en-US" w:eastAsia="zh-CN"/>
        </w:rPr>
      </w:pPr>
      <w:bookmarkStart w:id="23" w:name="_Toc21391"/>
      <w:r>
        <w:rPr>
          <w:rFonts w:hint="eastAsia" w:ascii="楷体" w:hAnsi="楷体" w:eastAsia="楷体" w:cs="楷体"/>
          <w:lang w:val="en-US" w:eastAsia="zh-CN"/>
        </w:rPr>
        <w:t>一是通过绩效评价掌握高龄津贴专项资金的使用、制度建设、执行情况、取得的成效，以及评价绩效指标的实现程度；总结经验，找准问题，提出改进的意见和建议。</w:t>
      </w:r>
    </w:p>
    <w:p w14:paraId="6CCFD750">
      <w:pPr>
        <w:bidi w:val="0"/>
        <w:rPr>
          <w:rFonts w:hint="eastAsia" w:ascii="楷体" w:hAnsi="楷体" w:eastAsia="楷体" w:cs="楷体"/>
          <w:lang w:val="en-US" w:eastAsia="zh-CN"/>
        </w:rPr>
      </w:pPr>
      <w:r>
        <w:rPr>
          <w:rFonts w:hint="eastAsia" w:ascii="楷体" w:hAnsi="楷体" w:eastAsia="楷体" w:cs="楷体"/>
          <w:lang w:val="en-US" w:eastAsia="zh-CN"/>
        </w:rPr>
        <w:t>二是通过绩效评价进一步完善制度、创新机制、加强管理、强化监督、保证项目管理的规范性、安全性和有效性；为指导预算编制、提高公共服务水平提供决策参考。</w:t>
      </w:r>
    </w:p>
    <w:p w14:paraId="116DD736">
      <w:pPr>
        <w:bidi w:val="0"/>
        <w:rPr>
          <w:rFonts w:hint="default" w:ascii="Times New Roman" w:hAnsi="Times New Roman" w:eastAsia="楷体_GB2312" w:cs="Times New Roman"/>
          <w:sz w:val="28"/>
          <w:szCs w:val="28"/>
          <w:highlight w:val="none"/>
          <w:lang w:val="en-US" w:eastAsia="zh-CN"/>
        </w:rPr>
      </w:pPr>
      <w:r>
        <w:rPr>
          <w:rFonts w:hint="eastAsia" w:ascii="楷体" w:hAnsi="楷体" w:eastAsia="楷体" w:cs="楷体"/>
          <w:lang w:val="en-US" w:eastAsia="zh-CN"/>
        </w:rPr>
        <w:t>三是通过绩效评价使相关部门加大政策宣传力度，提高群众对国家的民生政策的知晓率。</w:t>
      </w:r>
      <w:bookmarkEnd w:id="23"/>
      <w:bookmarkStart w:id="24" w:name="_Toc18627"/>
      <w:bookmarkStart w:id="25" w:name="_Toc26062"/>
      <w:bookmarkStart w:id="26" w:name="_Toc30960"/>
    </w:p>
    <w:bookmarkEnd w:id="24"/>
    <w:bookmarkEnd w:id="25"/>
    <w:bookmarkEnd w:id="26"/>
    <w:p w14:paraId="7E0FFA40">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outlineLvl w:val="0"/>
        <w:rPr>
          <w:rFonts w:hint="default" w:ascii="楷体" w:hAnsi="楷体" w:eastAsia="楷体" w:cs="楷体"/>
          <w:b/>
          <w:bCs/>
          <w:sz w:val="28"/>
          <w:szCs w:val="28"/>
          <w:lang w:val="en-US" w:eastAsia="zh-CN"/>
        </w:rPr>
      </w:pPr>
      <w:bookmarkStart w:id="27" w:name="_Toc29131"/>
      <w:r>
        <w:rPr>
          <w:rFonts w:hint="eastAsia"/>
          <w:b/>
          <w:bCs/>
          <w:sz w:val="28"/>
          <w:szCs w:val="28"/>
          <w:highlight w:val="none"/>
          <w:lang w:eastAsia="zh-CN"/>
        </w:rPr>
        <w:t>项目</w:t>
      </w:r>
      <w:r>
        <w:rPr>
          <w:rFonts w:hint="eastAsia"/>
          <w:b/>
          <w:bCs/>
          <w:sz w:val="28"/>
          <w:szCs w:val="28"/>
          <w:highlight w:val="none"/>
        </w:rPr>
        <w:t>评价结论</w:t>
      </w:r>
      <w:bookmarkEnd w:id="27"/>
    </w:p>
    <w:p w14:paraId="136E9C8B">
      <w:pPr>
        <w:pStyle w:val="2"/>
        <w:keepNext w:val="0"/>
        <w:keepLines w:val="0"/>
        <w:pageBreakBefore w:val="0"/>
        <w:widowControl w:val="0"/>
        <w:numPr>
          <w:ilvl w:val="0"/>
          <w:numId w:val="0"/>
        </w:numPr>
        <w:tabs>
          <w:tab w:val="clear" w:pos="8640"/>
        </w:tabs>
        <w:kinsoku/>
        <w:wordWrap/>
        <w:overflowPunct/>
        <w:topLinePunct w:val="0"/>
        <w:autoSpaceDE/>
        <w:autoSpaceDN/>
        <w:bidi w:val="0"/>
        <w:adjustRightInd/>
        <w:snapToGrid/>
        <w:spacing w:line="240" w:lineRule="auto"/>
        <w:ind w:firstLine="560" w:firstLineChars="200"/>
        <w:textAlignment w:val="auto"/>
        <w:outlineLvl w:val="9"/>
        <w:rPr>
          <w:rFonts w:hint="eastAsia" w:ascii="楷体" w:hAnsi="楷体" w:eastAsia="楷体" w:cs="楷体"/>
          <w:kern w:val="2"/>
          <w:sz w:val="28"/>
          <w:szCs w:val="28"/>
          <w:highlight w:val="none"/>
          <w:lang w:val="en-US" w:eastAsia="zh-CN" w:bidi="ar-SA"/>
        </w:rPr>
      </w:pPr>
      <w:r>
        <w:rPr>
          <w:rFonts w:hint="eastAsia" w:ascii="楷体" w:hAnsi="楷体" w:eastAsia="楷体" w:cs="楷体"/>
          <w:kern w:val="2"/>
          <w:sz w:val="28"/>
          <w:szCs w:val="28"/>
          <w:highlight w:val="none"/>
          <w:lang w:val="en-US" w:eastAsia="zh-CN" w:bidi="ar-SA"/>
        </w:rPr>
        <w:t>根据绩效评价指标体系和相关资料，投入分值15分，得</w:t>
      </w:r>
      <w:r>
        <w:rPr>
          <w:rFonts w:hint="eastAsia" w:ascii="楷体" w:hAnsi="楷体" w:cs="楷体"/>
          <w:kern w:val="2"/>
          <w:sz w:val="28"/>
          <w:szCs w:val="28"/>
          <w:highlight w:val="none"/>
          <w:lang w:val="en-US" w:eastAsia="zh-CN" w:bidi="ar-SA"/>
        </w:rPr>
        <w:t>12</w:t>
      </w:r>
      <w:r>
        <w:rPr>
          <w:rFonts w:hint="eastAsia" w:ascii="楷体" w:hAnsi="楷体" w:eastAsia="楷体" w:cs="楷体"/>
          <w:kern w:val="2"/>
          <w:sz w:val="28"/>
          <w:szCs w:val="28"/>
          <w:highlight w:val="none"/>
          <w:lang w:val="en-US" w:eastAsia="zh-CN" w:bidi="ar-SA"/>
        </w:rPr>
        <w:t>分；</w:t>
      </w:r>
      <w:r>
        <w:rPr>
          <w:rFonts w:hint="eastAsia" w:ascii="楷体" w:hAnsi="楷体" w:cs="楷体"/>
          <w:kern w:val="2"/>
          <w:sz w:val="28"/>
          <w:szCs w:val="28"/>
          <w:highlight w:val="none"/>
          <w:lang w:val="en-US" w:eastAsia="zh-CN" w:bidi="ar-SA"/>
        </w:rPr>
        <w:t>得费率为80%，</w:t>
      </w:r>
      <w:r>
        <w:rPr>
          <w:rFonts w:hint="eastAsia" w:ascii="楷体" w:hAnsi="楷体" w:eastAsia="楷体" w:cs="楷体"/>
          <w:kern w:val="2"/>
          <w:sz w:val="28"/>
          <w:szCs w:val="28"/>
          <w:highlight w:val="none"/>
          <w:lang w:val="en-US" w:eastAsia="zh-CN" w:bidi="ar-SA"/>
        </w:rPr>
        <w:t>过程分值25分，得</w:t>
      </w:r>
      <w:r>
        <w:rPr>
          <w:rFonts w:hint="eastAsia" w:ascii="楷体" w:hAnsi="楷体" w:cs="楷体"/>
          <w:kern w:val="2"/>
          <w:sz w:val="28"/>
          <w:szCs w:val="28"/>
          <w:highlight w:val="none"/>
          <w:lang w:val="en-US" w:eastAsia="zh-CN" w:bidi="ar-SA"/>
        </w:rPr>
        <w:t>22</w:t>
      </w:r>
      <w:r>
        <w:rPr>
          <w:rFonts w:hint="eastAsia" w:ascii="楷体" w:hAnsi="楷体" w:eastAsia="楷体" w:cs="楷体"/>
          <w:kern w:val="2"/>
          <w:sz w:val="28"/>
          <w:szCs w:val="28"/>
          <w:highlight w:val="none"/>
          <w:lang w:val="en-US" w:eastAsia="zh-CN" w:bidi="ar-SA"/>
        </w:rPr>
        <w:t>分；得费率为88%</w:t>
      </w:r>
      <w:r>
        <w:rPr>
          <w:rFonts w:hint="eastAsia" w:ascii="楷体" w:hAnsi="楷体" w:cs="楷体"/>
          <w:kern w:val="2"/>
          <w:sz w:val="28"/>
          <w:szCs w:val="28"/>
          <w:highlight w:val="none"/>
          <w:lang w:val="en-US" w:eastAsia="zh-CN" w:bidi="ar-SA"/>
        </w:rPr>
        <w:t>，</w:t>
      </w:r>
      <w:r>
        <w:rPr>
          <w:rFonts w:hint="eastAsia" w:ascii="楷体" w:hAnsi="楷体" w:eastAsia="楷体" w:cs="楷体"/>
          <w:kern w:val="2"/>
          <w:sz w:val="28"/>
          <w:szCs w:val="28"/>
          <w:highlight w:val="none"/>
          <w:lang w:val="en-US" w:eastAsia="zh-CN" w:bidi="ar-SA"/>
        </w:rPr>
        <w:t>产出分值</w:t>
      </w:r>
      <w:r>
        <w:rPr>
          <w:rFonts w:hint="eastAsia" w:ascii="楷体" w:hAnsi="楷体" w:cs="楷体"/>
          <w:kern w:val="2"/>
          <w:sz w:val="28"/>
          <w:szCs w:val="28"/>
          <w:highlight w:val="none"/>
          <w:lang w:val="en-US" w:eastAsia="zh-CN" w:bidi="ar-SA"/>
        </w:rPr>
        <w:t>40</w:t>
      </w:r>
      <w:r>
        <w:rPr>
          <w:rFonts w:hint="eastAsia" w:ascii="楷体" w:hAnsi="楷体" w:eastAsia="楷体" w:cs="楷体"/>
          <w:kern w:val="2"/>
          <w:sz w:val="28"/>
          <w:szCs w:val="28"/>
          <w:highlight w:val="none"/>
          <w:lang w:val="en-US" w:eastAsia="zh-CN" w:bidi="ar-SA"/>
        </w:rPr>
        <w:t>分，得</w:t>
      </w:r>
      <w:r>
        <w:rPr>
          <w:rFonts w:hint="eastAsia" w:ascii="楷体" w:hAnsi="楷体" w:cs="楷体"/>
          <w:kern w:val="2"/>
          <w:sz w:val="28"/>
          <w:szCs w:val="28"/>
          <w:highlight w:val="none"/>
          <w:lang w:val="en-US" w:eastAsia="zh-CN" w:bidi="ar-SA"/>
        </w:rPr>
        <w:t>32</w:t>
      </w:r>
      <w:r>
        <w:rPr>
          <w:rFonts w:hint="eastAsia" w:ascii="楷体" w:hAnsi="楷体" w:eastAsia="楷体" w:cs="楷体"/>
          <w:kern w:val="2"/>
          <w:sz w:val="28"/>
          <w:szCs w:val="28"/>
          <w:highlight w:val="none"/>
          <w:lang w:val="en-US" w:eastAsia="zh-CN" w:bidi="ar-SA"/>
        </w:rPr>
        <w:t>分；得费率为8</w:t>
      </w:r>
      <w:r>
        <w:rPr>
          <w:rFonts w:hint="eastAsia" w:ascii="楷体" w:hAnsi="楷体" w:cs="楷体"/>
          <w:kern w:val="2"/>
          <w:sz w:val="28"/>
          <w:szCs w:val="28"/>
          <w:highlight w:val="none"/>
          <w:lang w:val="en-US" w:eastAsia="zh-CN" w:bidi="ar-SA"/>
        </w:rPr>
        <w:t>0</w:t>
      </w:r>
      <w:r>
        <w:rPr>
          <w:rFonts w:hint="eastAsia" w:ascii="楷体" w:hAnsi="楷体" w:eastAsia="楷体" w:cs="楷体"/>
          <w:kern w:val="2"/>
          <w:sz w:val="28"/>
          <w:szCs w:val="28"/>
          <w:highlight w:val="none"/>
          <w:lang w:val="en-US" w:eastAsia="zh-CN" w:bidi="ar-SA"/>
        </w:rPr>
        <w:t>%</w:t>
      </w:r>
      <w:r>
        <w:rPr>
          <w:rFonts w:hint="eastAsia" w:ascii="楷体" w:hAnsi="楷体" w:cs="楷体"/>
          <w:kern w:val="2"/>
          <w:sz w:val="28"/>
          <w:szCs w:val="28"/>
          <w:highlight w:val="none"/>
          <w:lang w:val="en-US" w:eastAsia="zh-CN" w:bidi="ar-SA"/>
        </w:rPr>
        <w:t>，</w:t>
      </w:r>
      <w:r>
        <w:rPr>
          <w:rFonts w:hint="eastAsia" w:ascii="楷体" w:hAnsi="楷体" w:eastAsia="楷体" w:cs="楷体"/>
          <w:kern w:val="2"/>
          <w:sz w:val="28"/>
          <w:szCs w:val="28"/>
          <w:highlight w:val="none"/>
          <w:lang w:val="en-US" w:eastAsia="zh-CN" w:bidi="ar-SA"/>
        </w:rPr>
        <w:t>效果分值2</w:t>
      </w:r>
      <w:r>
        <w:rPr>
          <w:rFonts w:hint="eastAsia" w:ascii="楷体" w:hAnsi="楷体" w:cs="楷体"/>
          <w:kern w:val="2"/>
          <w:sz w:val="28"/>
          <w:szCs w:val="28"/>
          <w:highlight w:val="none"/>
          <w:lang w:val="en-US" w:eastAsia="zh-CN" w:bidi="ar-SA"/>
        </w:rPr>
        <w:t>0</w:t>
      </w:r>
      <w:r>
        <w:rPr>
          <w:rFonts w:hint="eastAsia" w:ascii="楷体" w:hAnsi="楷体" w:eastAsia="楷体" w:cs="楷体"/>
          <w:kern w:val="2"/>
          <w:sz w:val="28"/>
          <w:szCs w:val="28"/>
          <w:highlight w:val="none"/>
          <w:lang w:val="en-US" w:eastAsia="zh-CN" w:bidi="ar-SA"/>
        </w:rPr>
        <w:t>分，得</w:t>
      </w:r>
      <w:r>
        <w:rPr>
          <w:rFonts w:hint="eastAsia" w:ascii="楷体" w:hAnsi="楷体" w:cs="楷体"/>
          <w:kern w:val="2"/>
          <w:sz w:val="28"/>
          <w:szCs w:val="28"/>
          <w:highlight w:val="none"/>
          <w:lang w:val="en-US" w:eastAsia="zh-CN" w:bidi="ar-SA"/>
        </w:rPr>
        <w:t>15</w:t>
      </w:r>
      <w:r>
        <w:rPr>
          <w:rFonts w:hint="eastAsia" w:ascii="楷体" w:hAnsi="楷体" w:eastAsia="楷体" w:cs="楷体"/>
          <w:kern w:val="2"/>
          <w:sz w:val="28"/>
          <w:szCs w:val="28"/>
          <w:highlight w:val="none"/>
          <w:lang w:val="en-US" w:eastAsia="zh-CN" w:bidi="ar-SA"/>
        </w:rPr>
        <w:t>分。得费率为</w:t>
      </w:r>
      <w:r>
        <w:rPr>
          <w:rFonts w:hint="eastAsia" w:ascii="楷体" w:hAnsi="楷体" w:cs="楷体"/>
          <w:kern w:val="2"/>
          <w:sz w:val="28"/>
          <w:szCs w:val="28"/>
          <w:highlight w:val="none"/>
          <w:lang w:val="en-US" w:eastAsia="zh-CN" w:bidi="ar-SA"/>
        </w:rPr>
        <w:t>75</w:t>
      </w:r>
      <w:r>
        <w:rPr>
          <w:rFonts w:hint="eastAsia" w:ascii="楷体" w:hAnsi="楷体" w:eastAsia="楷体" w:cs="楷体"/>
          <w:kern w:val="2"/>
          <w:sz w:val="28"/>
          <w:szCs w:val="28"/>
          <w:highlight w:val="none"/>
          <w:lang w:val="en-US" w:eastAsia="zh-CN" w:bidi="ar-SA"/>
        </w:rPr>
        <w:t>%</w:t>
      </w:r>
      <w:r>
        <w:rPr>
          <w:rFonts w:hint="eastAsia" w:ascii="楷体" w:hAnsi="楷体" w:cs="楷体"/>
          <w:kern w:val="2"/>
          <w:sz w:val="28"/>
          <w:szCs w:val="28"/>
          <w:highlight w:val="none"/>
          <w:lang w:val="en-US" w:eastAsia="zh-CN" w:bidi="ar-SA"/>
        </w:rPr>
        <w:t>，</w:t>
      </w:r>
      <w:r>
        <w:rPr>
          <w:rFonts w:hint="eastAsia" w:ascii="楷体" w:hAnsi="楷体" w:eastAsia="楷体" w:cs="楷体"/>
          <w:kern w:val="2"/>
          <w:sz w:val="28"/>
          <w:szCs w:val="28"/>
          <w:highlight w:val="none"/>
          <w:lang w:val="en-US" w:eastAsia="zh-CN" w:bidi="ar-SA"/>
        </w:rPr>
        <w:t>经绩效评价小组综合评分，对本次绩效评价最终评分为</w:t>
      </w:r>
      <w:r>
        <w:rPr>
          <w:rFonts w:hint="eastAsia" w:ascii="楷体" w:hAnsi="楷体" w:cs="楷体"/>
          <w:kern w:val="2"/>
          <w:sz w:val="28"/>
          <w:szCs w:val="28"/>
          <w:highlight w:val="none"/>
          <w:lang w:val="en-US" w:eastAsia="zh-CN" w:bidi="ar-SA"/>
        </w:rPr>
        <w:t>81</w:t>
      </w:r>
      <w:r>
        <w:rPr>
          <w:rFonts w:hint="eastAsia" w:ascii="楷体" w:hAnsi="楷体" w:eastAsia="楷体" w:cs="楷体"/>
          <w:kern w:val="2"/>
          <w:sz w:val="28"/>
          <w:szCs w:val="28"/>
          <w:highlight w:val="none"/>
          <w:lang w:val="en-US" w:eastAsia="zh-CN" w:bidi="ar-SA"/>
        </w:rPr>
        <w:t>分。根据绩效评价方案得分为</w:t>
      </w:r>
      <w:r>
        <w:rPr>
          <w:rFonts w:hint="eastAsia" w:ascii="楷体" w:hAnsi="楷体" w:cs="楷体"/>
          <w:kern w:val="2"/>
          <w:sz w:val="28"/>
          <w:szCs w:val="28"/>
          <w:highlight w:val="none"/>
          <w:lang w:val="en-US" w:eastAsia="zh-CN" w:bidi="ar-SA"/>
        </w:rPr>
        <w:t>8</w:t>
      </w:r>
      <w:r>
        <w:rPr>
          <w:rFonts w:hint="eastAsia" w:ascii="楷体" w:hAnsi="楷体" w:eastAsia="楷体" w:cs="楷体"/>
          <w:kern w:val="2"/>
          <w:sz w:val="28"/>
          <w:szCs w:val="28"/>
          <w:highlight w:val="none"/>
          <w:lang w:val="en-US" w:eastAsia="zh-CN" w:bidi="ar-SA"/>
        </w:rPr>
        <w:t>0-</w:t>
      </w:r>
      <w:r>
        <w:rPr>
          <w:rFonts w:hint="eastAsia" w:ascii="楷体" w:hAnsi="楷体" w:cs="楷体"/>
          <w:kern w:val="2"/>
          <w:sz w:val="28"/>
          <w:szCs w:val="28"/>
          <w:highlight w:val="none"/>
          <w:lang w:val="en-US" w:eastAsia="zh-CN" w:bidi="ar-SA"/>
        </w:rPr>
        <w:t>9</w:t>
      </w:r>
      <w:r>
        <w:rPr>
          <w:rFonts w:hint="eastAsia" w:ascii="楷体" w:hAnsi="楷体" w:eastAsia="楷体" w:cs="楷体"/>
          <w:kern w:val="2"/>
          <w:sz w:val="28"/>
          <w:szCs w:val="28"/>
          <w:highlight w:val="none"/>
          <w:lang w:val="en-US" w:eastAsia="zh-CN" w:bidi="ar-SA"/>
        </w:rPr>
        <w:t>0分（含</w:t>
      </w:r>
      <w:r>
        <w:rPr>
          <w:rFonts w:hint="eastAsia" w:ascii="楷体" w:hAnsi="楷体" w:cs="楷体"/>
          <w:kern w:val="2"/>
          <w:sz w:val="28"/>
          <w:szCs w:val="28"/>
          <w:highlight w:val="none"/>
          <w:lang w:val="en-US" w:eastAsia="zh-CN" w:bidi="ar-SA"/>
        </w:rPr>
        <w:t>8</w:t>
      </w:r>
      <w:r>
        <w:rPr>
          <w:rFonts w:hint="eastAsia" w:ascii="楷体" w:hAnsi="楷体" w:eastAsia="楷体" w:cs="楷体"/>
          <w:kern w:val="2"/>
          <w:sz w:val="28"/>
          <w:szCs w:val="28"/>
          <w:highlight w:val="none"/>
          <w:lang w:val="en-US" w:eastAsia="zh-CN" w:bidi="ar-SA"/>
        </w:rPr>
        <w:t>0分）为</w:t>
      </w:r>
      <w:r>
        <w:rPr>
          <w:rFonts w:hint="eastAsia" w:ascii="楷体" w:hAnsi="楷体" w:cs="楷体"/>
          <w:kern w:val="2"/>
          <w:sz w:val="28"/>
          <w:szCs w:val="28"/>
          <w:highlight w:val="none"/>
          <w:lang w:val="en-US" w:eastAsia="zh-CN" w:bidi="ar-SA"/>
        </w:rPr>
        <w:t>良</w:t>
      </w:r>
      <w:r>
        <w:rPr>
          <w:rFonts w:hint="eastAsia" w:ascii="楷体" w:hAnsi="楷体" w:eastAsia="楷体" w:cs="楷体"/>
          <w:kern w:val="2"/>
          <w:sz w:val="28"/>
          <w:szCs w:val="28"/>
          <w:highlight w:val="none"/>
          <w:lang w:val="en-US" w:eastAsia="zh-CN" w:bidi="ar-SA"/>
        </w:rPr>
        <w:t>；本项目绩效评价结果为</w:t>
      </w:r>
      <w:r>
        <w:rPr>
          <w:rFonts w:hint="eastAsia" w:ascii="楷体" w:hAnsi="楷体" w:cs="楷体"/>
          <w:kern w:val="2"/>
          <w:sz w:val="28"/>
          <w:szCs w:val="28"/>
          <w:highlight w:val="none"/>
          <w:lang w:val="en-US" w:eastAsia="zh-CN" w:bidi="ar-SA"/>
        </w:rPr>
        <w:t>“良”</w:t>
      </w:r>
      <w:r>
        <w:rPr>
          <w:rFonts w:hint="eastAsia" w:ascii="楷体" w:hAnsi="楷体" w:eastAsia="楷体" w:cs="楷体"/>
          <w:kern w:val="2"/>
          <w:sz w:val="28"/>
          <w:szCs w:val="28"/>
          <w:highlight w:val="none"/>
          <w:lang w:val="en-US" w:eastAsia="zh-CN" w:bidi="ar-SA"/>
        </w:rPr>
        <w:t>。</w:t>
      </w:r>
    </w:p>
    <w:p w14:paraId="00517BF9">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ascii="楷体" w:hAnsi="楷体" w:eastAsia="楷体" w:cs="楷体"/>
          <w:b/>
          <w:bCs/>
          <w:kern w:val="2"/>
          <w:sz w:val="28"/>
          <w:szCs w:val="28"/>
          <w:highlight w:val="none"/>
          <w:lang w:val="en-US" w:eastAsia="zh-CN" w:bidi="ar-SA"/>
        </w:rPr>
      </w:pPr>
      <w:r>
        <w:rPr>
          <w:rFonts w:hint="eastAsia" w:ascii="楷体" w:hAnsi="楷体" w:eastAsia="楷体" w:cs="楷体"/>
          <w:b/>
          <w:bCs/>
          <w:kern w:val="2"/>
          <w:sz w:val="28"/>
          <w:szCs w:val="28"/>
          <w:highlight w:val="none"/>
          <w:lang w:val="en-US" w:eastAsia="zh-CN" w:bidi="ar-SA"/>
        </w:rPr>
        <w:t>周口市80周岁及以上老人高龄津贴专项资</w:t>
      </w:r>
      <w:r>
        <w:rPr>
          <w:rFonts w:hint="eastAsia" w:ascii="楷体" w:hAnsi="楷体" w:cs="楷体"/>
          <w:b/>
          <w:bCs/>
          <w:kern w:val="2"/>
          <w:sz w:val="28"/>
          <w:szCs w:val="28"/>
          <w:highlight w:val="none"/>
          <w:lang w:val="en-US" w:eastAsia="zh-CN" w:bidi="ar-SA"/>
        </w:rPr>
        <w:t>金年度</w:t>
      </w:r>
      <w:r>
        <w:rPr>
          <w:rFonts w:hint="eastAsia" w:ascii="楷体" w:hAnsi="楷体" w:eastAsia="楷体" w:cs="楷体"/>
          <w:b/>
          <w:bCs/>
          <w:kern w:val="2"/>
          <w:sz w:val="28"/>
          <w:szCs w:val="28"/>
          <w:highlight w:val="none"/>
          <w:lang w:val="en-US" w:eastAsia="zh-CN" w:bidi="ar-SA"/>
        </w:rPr>
        <w:t>绩效评价得分汇总</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4"/>
        <w:gridCol w:w="1693"/>
        <w:gridCol w:w="1578"/>
        <w:gridCol w:w="1942"/>
        <w:gridCol w:w="1942"/>
      </w:tblGrid>
      <w:tr w14:paraId="0FA1B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364" w:type="dxa"/>
            <w:vAlign w:val="top"/>
          </w:tcPr>
          <w:p w14:paraId="5B715FD4">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default" w:ascii="楷体" w:hAnsi="楷体" w:eastAsia="楷体" w:cs="楷体"/>
                <w:kern w:val="2"/>
                <w:sz w:val="28"/>
                <w:szCs w:val="28"/>
                <w:highlight w:val="none"/>
                <w:lang w:val="en-US" w:eastAsia="zh-CN" w:bidi="ar-SA"/>
              </w:rPr>
            </w:pPr>
            <w:r>
              <w:rPr>
                <w:rFonts w:hint="eastAsia" w:ascii="楷体" w:hAnsi="楷体" w:eastAsia="楷体" w:cs="楷体"/>
                <w:kern w:val="2"/>
                <w:sz w:val="28"/>
                <w:szCs w:val="28"/>
                <w:highlight w:val="none"/>
                <w:lang w:val="en-US" w:eastAsia="zh-CN" w:bidi="ar-SA"/>
              </w:rPr>
              <w:t>序号</w:t>
            </w:r>
          </w:p>
        </w:tc>
        <w:tc>
          <w:tcPr>
            <w:tcW w:w="1693" w:type="dxa"/>
            <w:vAlign w:val="top"/>
          </w:tcPr>
          <w:p w14:paraId="08693FF4">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default" w:ascii="楷体" w:hAnsi="楷体" w:eastAsia="楷体" w:cs="楷体"/>
                <w:kern w:val="2"/>
                <w:sz w:val="28"/>
                <w:szCs w:val="28"/>
                <w:highlight w:val="none"/>
                <w:lang w:val="en-US" w:eastAsia="zh-CN" w:bidi="ar-SA"/>
              </w:rPr>
            </w:pPr>
            <w:r>
              <w:rPr>
                <w:rFonts w:hint="eastAsia" w:ascii="楷体" w:hAnsi="楷体" w:eastAsia="楷体" w:cs="楷体"/>
                <w:kern w:val="2"/>
                <w:sz w:val="28"/>
                <w:szCs w:val="28"/>
                <w:highlight w:val="none"/>
                <w:lang w:val="en-US" w:eastAsia="zh-CN" w:bidi="ar-SA"/>
              </w:rPr>
              <w:t>一级指标</w:t>
            </w:r>
          </w:p>
        </w:tc>
        <w:tc>
          <w:tcPr>
            <w:tcW w:w="1578" w:type="dxa"/>
            <w:vAlign w:val="top"/>
          </w:tcPr>
          <w:p w14:paraId="16E80860">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default" w:ascii="楷体" w:hAnsi="楷体" w:eastAsia="楷体" w:cs="楷体"/>
                <w:kern w:val="2"/>
                <w:sz w:val="28"/>
                <w:szCs w:val="28"/>
                <w:highlight w:val="none"/>
                <w:lang w:val="en-US" w:eastAsia="zh-CN" w:bidi="ar-SA"/>
              </w:rPr>
            </w:pPr>
            <w:r>
              <w:rPr>
                <w:rFonts w:hint="eastAsia" w:ascii="楷体" w:hAnsi="楷体" w:eastAsia="楷体" w:cs="楷体"/>
                <w:kern w:val="2"/>
                <w:sz w:val="28"/>
                <w:szCs w:val="28"/>
                <w:highlight w:val="none"/>
                <w:lang w:val="en-US" w:eastAsia="zh-CN" w:bidi="ar-SA"/>
              </w:rPr>
              <w:t>分值</w:t>
            </w:r>
          </w:p>
        </w:tc>
        <w:tc>
          <w:tcPr>
            <w:tcW w:w="1942" w:type="dxa"/>
            <w:vAlign w:val="top"/>
          </w:tcPr>
          <w:p w14:paraId="4C990218">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default" w:ascii="楷体" w:hAnsi="楷体" w:eastAsia="楷体" w:cs="楷体"/>
                <w:kern w:val="2"/>
                <w:sz w:val="28"/>
                <w:szCs w:val="28"/>
                <w:highlight w:val="none"/>
                <w:lang w:val="en-US" w:eastAsia="zh-CN" w:bidi="ar-SA"/>
              </w:rPr>
            </w:pPr>
            <w:r>
              <w:rPr>
                <w:rFonts w:hint="eastAsia" w:ascii="楷体" w:hAnsi="楷体" w:eastAsia="楷体" w:cs="楷体"/>
                <w:kern w:val="2"/>
                <w:sz w:val="28"/>
                <w:szCs w:val="28"/>
                <w:highlight w:val="none"/>
                <w:lang w:val="en-US" w:eastAsia="zh-CN" w:bidi="ar-SA"/>
              </w:rPr>
              <w:t>得分</w:t>
            </w:r>
          </w:p>
        </w:tc>
        <w:tc>
          <w:tcPr>
            <w:tcW w:w="1942" w:type="dxa"/>
            <w:vAlign w:val="top"/>
          </w:tcPr>
          <w:p w14:paraId="305BE6B6">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ascii="楷体" w:hAnsi="楷体" w:eastAsia="楷体" w:cs="楷体"/>
                <w:kern w:val="2"/>
                <w:sz w:val="28"/>
                <w:szCs w:val="28"/>
                <w:highlight w:val="none"/>
                <w:lang w:val="en-US" w:eastAsia="zh-CN" w:bidi="ar-SA"/>
              </w:rPr>
            </w:pPr>
            <w:r>
              <w:rPr>
                <w:rFonts w:hint="eastAsia" w:ascii="楷体" w:hAnsi="楷体" w:cs="楷体"/>
                <w:kern w:val="2"/>
                <w:sz w:val="28"/>
                <w:szCs w:val="28"/>
                <w:highlight w:val="none"/>
                <w:lang w:val="en-US" w:eastAsia="zh-CN" w:bidi="ar-SA"/>
              </w:rPr>
              <w:t>得分率</w:t>
            </w:r>
          </w:p>
        </w:tc>
      </w:tr>
      <w:tr w14:paraId="49FAE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364" w:type="dxa"/>
            <w:vAlign w:val="top"/>
          </w:tcPr>
          <w:p w14:paraId="13634FF0">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default" w:ascii="楷体" w:hAnsi="楷体" w:eastAsia="楷体" w:cs="楷体"/>
                <w:kern w:val="2"/>
                <w:sz w:val="28"/>
                <w:szCs w:val="28"/>
                <w:highlight w:val="none"/>
                <w:lang w:val="en-US" w:eastAsia="zh-CN" w:bidi="ar-SA"/>
              </w:rPr>
            </w:pPr>
            <w:r>
              <w:rPr>
                <w:rFonts w:hint="eastAsia" w:ascii="楷体" w:hAnsi="楷体" w:eastAsia="楷体" w:cs="楷体"/>
                <w:kern w:val="2"/>
                <w:sz w:val="28"/>
                <w:szCs w:val="28"/>
                <w:highlight w:val="none"/>
                <w:lang w:val="en-US" w:eastAsia="zh-CN" w:bidi="ar-SA"/>
              </w:rPr>
              <w:t>1</w:t>
            </w:r>
          </w:p>
        </w:tc>
        <w:tc>
          <w:tcPr>
            <w:tcW w:w="1693" w:type="dxa"/>
            <w:vAlign w:val="top"/>
          </w:tcPr>
          <w:p w14:paraId="2FFB91EB">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default" w:ascii="楷体" w:hAnsi="楷体" w:eastAsia="楷体" w:cs="楷体"/>
                <w:kern w:val="2"/>
                <w:sz w:val="28"/>
                <w:szCs w:val="28"/>
                <w:highlight w:val="none"/>
                <w:lang w:val="en-US" w:eastAsia="zh-CN" w:bidi="ar-SA"/>
              </w:rPr>
            </w:pPr>
            <w:r>
              <w:rPr>
                <w:rFonts w:hint="eastAsia" w:ascii="楷体" w:hAnsi="楷体" w:cs="楷体"/>
                <w:kern w:val="2"/>
                <w:sz w:val="28"/>
                <w:szCs w:val="28"/>
                <w:highlight w:val="none"/>
                <w:lang w:val="en-US" w:eastAsia="zh-CN" w:bidi="ar-SA"/>
              </w:rPr>
              <w:t>投入</w:t>
            </w:r>
          </w:p>
        </w:tc>
        <w:tc>
          <w:tcPr>
            <w:tcW w:w="1578" w:type="dxa"/>
            <w:vAlign w:val="top"/>
          </w:tcPr>
          <w:p w14:paraId="19E69981">
            <w:pPr>
              <w:keepNext w:val="0"/>
              <w:keepLines w:val="0"/>
              <w:widowControl/>
              <w:suppressLineNumbers w:val="0"/>
              <w:ind w:firstLine="280" w:firstLineChars="100"/>
              <w:jc w:val="center"/>
              <w:textAlignment w:val="top"/>
              <w:rPr>
                <w:rFonts w:hint="default" w:ascii="楷体" w:hAnsi="楷体" w:eastAsia="楷体" w:cs="楷体"/>
                <w:kern w:val="2"/>
                <w:sz w:val="28"/>
                <w:szCs w:val="28"/>
                <w:highlight w:val="none"/>
                <w:lang w:val="en-US" w:eastAsia="zh-CN" w:bidi="ar-SA"/>
              </w:rPr>
            </w:pPr>
            <w:r>
              <w:rPr>
                <w:rFonts w:hint="eastAsia" w:ascii="楷体" w:hAnsi="楷体" w:eastAsia="楷体" w:cs="楷体"/>
                <w:i w:val="0"/>
                <w:iCs w:val="0"/>
                <w:color w:val="000000"/>
                <w:kern w:val="0"/>
                <w:sz w:val="28"/>
                <w:szCs w:val="28"/>
                <w:u w:val="none"/>
                <w:lang w:val="en-US" w:eastAsia="zh-CN" w:bidi="ar"/>
              </w:rPr>
              <w:t>15</w:t>
            </w:r>
          </w:p>
        </w:tc>
        <w:tc>
          <w:tcPr>
            <w:tcW w:w="1942" w:type="dxa"/>
            <w:vAlign w:val="top"/>
          </w:tcPr>
          <w:p w14:paraId="30B71571">
            <w:pPr>
              <w:keepNext w:val="0"/>
              <w:keepLines w:val="0"/>
              <w:widowControl/>
              <w:suppressLineNumbers w:val="0"/>
              <w:ind w:firstLine="280" w:firstLineChars="100"/>
              <w:jc w:val="center"/>
              <w:textAlignment w:val="top"/>
              <w:rPr>
                <w:rFonts w:hint="default" w:ascii="楷体" w:hAnsi="楷体" w:eastAsia="楷体" w:cs="楷体"/>
                <w:kern w:val="2"/>
                <w:sz w:val="28"/>
                <w:szCs w:val="28"/>
                <w:highlight w:val="none"/>
                <w:lang w:val="en-US" w:eastAsia="zh-CN" w:bidi="ar-SA"/>
              </w:rPr>
            </w:pPr>
            <w:r>
              <w:rPr>
                <w:rFonts w:hint="eastAsia" w:ascii="楷体" w:hAnsi="楷体" w:eastAsia="楷体" w:cs="楷体"/>
                <w:i w:val="0"/>
                <w:iCs w:val="0"/>
                <w:color w:val="000000"/>
                <w:kern w:val="0"/>
                <w:sz w:val="28"/>
                <w:szCs w:val="28"/>
                <w:u w:val="none"/>
                <w:lang w:val="en-US" w:eastAsia="zh-CN" w:bidi="ar"/>
              </w:rPr>
              <w:t>12</w:t>
            </w:r>
          </w:p>
        </w:tc>
        <w:tc>
          <w:tcPr>
            <w:tcW w:w="1942" w:type="dxa"/>
            <w:vAlign w:val="top"/>
          </w:tcPr>
          <w:p w14:paraId="4BF876A1">
            <w:pPr>
              <w:keepNext w:val="0"/>
              <w:keepLines w:val="0"/>
              <w:widowControl/>
              <w:suppressLineNumbers w:val="0"/>
              <w:ind w:firstLine="280" w:firstLineChars="100"/>
              <w:jc w:val="center"/>
              <w:textAlignment w:val="top"/>
              <w:rPr>
                <w:rFonts w:hint="default" w:ascii="楷体" w:hAnsi="楷体" w:cs="楷体"/>
                <w:kern w:val="2"/>
                <w:sz w:val="28"/>
                <w:szCs w:val="28"/>
                <w:highlight w:val="none"/>
                <w:lang w:val="en-US" w:eastAsia="zh-CN" w:bidi="ar-SA"/>
              </w:rPr>
            </w:pPr>
            <w:r>
              <w:rPr>
                <w:rFonts w:hint="eastAsia" w:ascii="楷体" w:hAnsi="楷体" w:eastAsia="楷体" w:cs="楷体"/>
                <w:i w:val="0"/>
                <w:iCs w:val="0"/>
                <w:color w:val="000000"/>
                <w:kern w:val="0"/>
                <w:sz w:val="28"/>
                <w:szCs w:val="28"/>
                <w:u w:val="none"/>
                <w:lang w:val="en-US" w:eastAsia="zh-CN" w:bidi="ar"/>
              </w:rPr>
              <w:t>80</w:t>
            </w:r>
            <w:r>
              <w:rPr>
                <w:rFonts w:hint="eastAsia" w:ascii="楷体" w:hAnsi="楷体" w:cs="楷体"/>
                <w:i w:val="0"/>
                <w:iCs w:val="0"/>
                <w:color w:val="000000"/>
                <w:kern w:val="0"/>
                <w:sz w:val="28"/>
                <w:szCs w:val="28"/>
                <w:u w:val="none"/>
                <w:lang w:val="en-US" w:eastAsia="zh-CN" w:bidi="ar"/>
              </w:rPr>
              <w:t>%</w:t>
            </w:r>
          </w:p>
        </w:tc>
      </w:tr>
      <w:tr w14:paraId="34343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364" w:type="dxa"/>
            <w:vAlign w:val="top"/>
          </w:tcPr>
          <w:p w14:paraId="6FAEF977">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default" w:ascii="楷体" w:hAnsi="楷体" w:eastAsia="楷体" w:cs="楷体"/>
                <w:kern w:val="2"/>
                <w:sz w:val="28"/>
                <w:szCs w:val="28"/>
                <w:lang w:val="en-US" w:eastAsia="zh-CN" w:bidi="ar-SA"/>
              </w:rPr>
            </w:pPr>
            <w:r>
              <w:rPr>
                <w:rFonts w:hint="eastAsia" w:ascii="楷体" w:hAnsi="楷体" w:eastAsia="楷体" w:cs="楷体"/>
                <w:kern w:val="2"/>
                <w:sz w:val="28"/>
                <w:szCs w:val="28"/>
                <w:lang w:val="en-US" w:eastAsia="zh-CN" w:bidi="ar-SA"/>
              </w:rPr>
              <w:t>2</w:t>
            </w:r>
          </w:p>
        </w:tc>
        <w:tc>
          <w:tcPr>
            <w:tcW w:w="1693" w:type="dxa"/>
            <w:vAlign w:val="top"/>
          </w:tcPr>
          <w:p w14:paraId="3875A1FB">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default" w:ascii="楷体" w:hAnsi="楷体" w:eastAsia="楷体" w:cs="楷体"/>
                <w:kern w:val="2"/>
                <w:sz w:val="28"/>
                <w:szCs w:val="28"/>
                <w:lang w:val="en-US" w:eastAsia="zh-CN" w:bidi="ar-SA"/>
              </w:rPr>
            </w:pPr>
            <w:r>
              <w:rPr>
                <w:rFonts w:hint="eastAsia" w:ascii="楷体" w:hAnsi="楷体" w:cs="楷体"/>
                <w:kern w:val="2"/>
                <w:sz w:val="28"/>
                <w:szCs w:val="28"/>
                <w:lang w:val="en-US" w:eastAsia="zh-CN" w:bidi="ar-SA"/>
              </w:rPr>
              <w:t>过程</w:t>
            </w:r>
          </w:p>
        </w:tc>
        <w:tc>
          <w:tcPr>
            <w:tcW w:w="1578" w:type="dxa"/>
            <w:vAlign w:val="top"/>
          </w:tcPr>
          <w:p w14:paraId="0617A192">
            <w:pPr>
              <w:keepNext w:val="0"/>
              <w:keepLines w:val="0"/>
              <w:widowControl/>
              <w:suppressLineNumbers w:val="0"/>
              <w:ind w:firstLine="280" w:firstLineChars="100"/>
              <w:jc w:val="center"/>
              <w:textAlignment w:val="top"/>
              <w:rPr>
                <w:rFonts w:hint="default" w:ascii="楷体" w:hAnsi="楷体" w:eastAsia="楷体" w:cs="楷体"/>
                <w:kern w:val="2"/>
                <w:sz w:val="28"/>
                <w:szCs w:val="28"/>
                <w:lang w:val="en-US" w:eastAsia="zh-CN" w:bidi="ar-SA"/>
              </w:rPr>
            </w:pPr>
            <w:r>
              <w:rPr>
                <w:rFonts w:hint="eastAsia" w:ascii="楷体" w:hAnsi="楷体" w:eastAsia="楷体" w:cs="楷体"/>
                <w:i w:val="0"/>
                <w:iCs w:val="0"/>
                <w:color w:val="000000"/>
                <w:kern w:val="0"/>
                <w:sz w:val="28"/>
                <w:szCs w:val="28"/>
                <w:u w:val="none"/>
                <w:lang w:val="en-US" w:eastAsia="zh-CN" w:bidi="ar"/>
              </w:rPr>
              <w:t>25</w:t>
            </w:r>
          </w:p>
        </w:tc>
        <w:tc>
          <w:tcPr>
            <w:tcW w:w="1942" w:type="dxa"/>
            <w:vAlign w:val="top"/>
          </w:tcPr>
          <w:p w14:paraId="0E68406C">
            <w:pPr>
              <w:keepNext w:val="0"/>
              <w:keepLines w:val="0"/>
              <w:widowControl/>
              <w:suppressLineNumbers w:val="0"/>
              <w:ind w:firstLine="280" w:firstLineChars="100"/>
              <w:jc w:val="center"/>
              <w:textAlignment w:val="top"/>
              <w:rPr>
                <w:rFonts w:hint="default" w:ascii="楷体" w:hAnsi="楷体" w:eastAsia="楷体" w:cs="楷体"/>
                <w:kern w:val="2"/>
                <w:sz w:val="28"/>
                <w:szCs w:val="28"/>
                <w:lang w:val="en-US" w:eastAsia="zh-CN" w:bidi="ar-SA"/>
              </w:rPr>
            </w:pPr>
            <w:r>
              <w:rPr>
                <w:rFonts w:hint="eastAsia" w:ascii="楷体" w:hAnsi="楷体" w:eastAsia="楷体" w:cs="楷体"/>
                <w:i w:val="0"/>
                <w:iCs w:val="0"/>
                <w:color w:val="000000"/>
                <w:kern w:val="0"/>
                <w:sz w:val="28"/>
                <w:szCs w:val="28"/>
                <w:u w:val="none"/>
                <w:lang w:val="en-US" w:eastAsia="zh-CN" w:bidi="ar"/>
              </w:rPr>
              <w:t>22</w:t>
            </w:r>
          </w:p>
        </w:tc>
        <w:tc>
          <w:tcPr>
            <w:tcW w:w="1942" w:type="dxa"/>
            <w:vAlign w:val="top"/>
          </w:tcPr>
          <w:p w14:paraId="65355D2B">
            <w:pPr>
              <w:keepNext w:val="0"/>
              <w:keepLines w:val="0"/>
              <w:widowControl/>
              <w:suppressLineNumbers w:val="0"/>
              <w:ind w:firstLine="280" w:firstLineChars="100"/>
              <w:jc w:val="center"/>
              <w:textAlignment w:val="top"/>
              <w:rPr>
                <w:rFonts w:hint="default" w:ascii="楷体" w:hAnsi="楷体" w:cs="楷体"/>
                <w:kern w:val="2"/>
                <w:sz w:val="28"/>
                <w:szCs w:val="28"/>
                <w:lang w:val="en-US" w:eastAsia="zh-CN" w:bidi="ar-SA"/>
              </w:rPr>
            </w:pPr>
            <w:r>
              <w:rPr>
                <w:rFonts w:hint="eastAsia" w:ascii="楷体" w:hAnsi="楷体" w:eastAsia="楷体" w:cs="楷体"/>
                <w:i w:val="0"/>
                <w:iCs w:val="0"/>
                <w:color w:val="000000"/>
                <w:kern w:val="0"/>
                <w:sz w:val="28"/>
                <w:szCs w:val="28"/>
                <w:u w:val="none"/>
                <w:lang w:val="en-US" w:eastAsia="zh-CN" w:bidi="ar"/>
              </w:rPr>
              <w:t>88</w:t>
            </w:r>
            <w:r>
              <w:rPr>
                <w:rFonts w:hint="eastAsia" w:ascii="楷体" w:hAnsi="楷体" w:cs="楷体"/>
                <w:i w:val="0"/>
                <w:iCs w:val="0"/>
                <w:color w:val="000000"/>
                <w:kern w:val="0"/>
                <w:sz w:val="28"/>
                <w:szCs w:val="28"/>
                <w:u w:val="none"/>
                <w:lang w:val="en-US" w:eastAsia="zh-CN" w:bidi="ar"/>
              </w:rPr>
              <w:t>%</w:t>
            </w:r>
          </w:p>
        </w:tc>
      </w:tr>
      <w:tr w14:paraId="34B18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364" w:type="dxa"/>
            <w:vAlign w:val="top"/>
          </w:tcPr>
          <w:p w14:paraId="6BCEA2CF">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default" w:ascii="楷体" w:hAnsi="楷体" w:eastAsia="楷体" w:cs="楷体"/>
                <w:kern w:val="2"/>
                <w:sz w:val="28"/>
                <w:szCs w:val="28"/>
                <w:lang w:val="en-US" w:eastAsia="zh-CN" w:bidi="ar-SA"/>
              </w:rPr>
            </w:pPr>
            <w:r>
              <w:rPr>
                <w:rFonts w:hint="eastAsia" w:ascii="楷体" w:hAnsi="楷体" w:eastAsia="楷体" w:cs="楷体"/>
                <w:kern w:val="2"/>
                <w:sz w:val="28"/>
                <w:szCs w:val="28"/>
                <w:lang w:val="en-US" w:eastAsia="zh-CN" w:bidi="ar-SA"/>
              </w:rPr>
              <w:t>3</w:t>
            </w:r>
          </w:p>
        </w:tc>
        <w:tc>
          <w:tcPr>
            <w:tcW w:w="1693" w:type="dxa"/>
            <w:vAlign w:val="top"/>
          </w:tcPr>
          <w:p w14:paraId="77C72EE1">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default" w:ascii="楷体" w:hAnsi="楷体" w:eastAsia="楷体" w:cs="楷体"/>
                <w:kern w:val="2"/>
                <w:sz w:val="28"/>
                <w:szCs w:val="28"/>
                <w:lang w:val="en-US" w:eastAsia="zh-CN" w:bidi="ar-SA"/>
              </w:rPr>
            </w:pPr>
            <w:r>
              <w:rPr>
                <w:rFonts w:hint="eastAsia" w:ascii="楷体" w:hAnsi="楷体" w:cs="楷体"/>
                <w:kern w:val="2"/>
                <w:sz w:val="28"/>
                <w:szCs w:val="28"/>
                <w:lang w:val="en-US" w:eastAsia="zh-CN" w:bidi="ar-SA"/>
              </w:rPr>
              <w:t>产出</w:t>
            </w:r>
          </w:p>
        </w:tc>
        <w:tc>
          <w:tcPr>
            <w:tcW w:w="1578" w:type="dxa"/>
            <w:vAlign w:val="top"/>
          </w:tcPr>
          <w:p w14:paraId="7C49BEC0">
            <w:pPr>
              <w:keepNext w:val="0"/>
              <w:keepLines w:val="0"/>
              <w:widowControl/>
              <w:suppressLineNumbers w:val="0"/>
              <w:ind w:firstLine="280" w:firstLineChars="100"/>
              <w:jc w:val="center"/>
              <w:textAlignment w:val="top"/>
              <w:rPr>
                <w:rFonts w:hint="default" w:ascii="楷体" w:hAnsi="楷体" w:eastAsia="楷体" w:cs="楷体"/>
                <w:kern w:val="2"/>
                <w:sz w:val="28"/>
                <w:szCs w:val="28"/>
                <w:lang w:val="en-US" w:eastAsia="zh-CN" w:bidi="ar-SA"/>
              </w:rPr>
            </w:pPr>
            <w:r>
              <w:rPr>
                <w:rFonts w:hint="eastAsia" w:ascii="楷体" w:hAnsi="楷体" w:eastAsia="楷体" w:cs="楷体"/>
                <w:i w:val="0"/>
                <w:iCs w:val="0"/>
                <w:color w:val="000000"/>
                <w:kern w:val="0"/>
                <w:sz w:val="28"/>
                <w:szCs w:val="28"/>
                <w:u w:val="none"/>
                <w:lang w:val="en-US" w:eastAsia="zh-CN" w:bidi="ar"/>
              </w:rPr>
              <w:t>40</w:t>
            </w:r>
          </w:p>
        </w:tc>
        <w:tc>
          <w:tcPr>
            <w:tcW w:w="1942" w:type="dxa"/>
            <w:vAlign w:val="top"/>
          </w:tcPr>
          <w:p w14:paraId="3370DF92">
            <w:pPr>
              <w:keepNext w:val="0"/>
              <w:keepLines w:val="0"/>
              <w:widowControl/>
              <w:suppressLineNumbers w:val="0"/>
              <w:ind w:firstLine="280" w:firstLineChars="100"/>
              <w:jc w:val="center"/>
              <w:textAlignment w:val="top"/>
              <w:rPr>
                <w:rFonts w:hint="default" w:ascii="楷体" w:hAnsi="楷体" w:eastAsia="楷体" w:cs="楷体"/>
                <w:kern w:val="2"/>
                <w:sz w:val="28"/>
                <w:szCs w:val="28"/>
                <w:lang w:val="en-US" w:eastAsia="zh-CN" w:bidi="ar-SA"/>
              </w:rPr>
            </w:pPr>
            <w:r>
              <w:rPr>
                <w:rFonts w:hint="eastAsia" w:ascii="楷体" w:hAnsi="楷体" w:eastAsia="楷体" w:cs="楷体"/>
                <w:i w:val="0"/>
                <w:iCs w:val="0"/>
                <w:color w:val="000000"/>
                <w:kern w:val="0"/>
                <w:sz w:val="28"/>
                <w:szCs w:val="28"/>
                <w:u w:val="none"/>
                <w:lang w:val="en-US" w:eastAsia="zh-CN" w:bidi="ar"/>
              </w:rPr>
              <w:t>3</w:t>
            </w:r>
            <w:r>
              <w:rPr>
                <w:rFonts w:hint="eastAsia" w:ascii="楷体" w:hAnsi="楷体" w:cs="楷体"/>
                <w:i w:val="0"/>
                <w:iCs w:val="0"/>
                <w:color w:val="000000"/>
                <w:kern w:val="0"/>
                <w:sz w:val="28"/>
                <w:szCs w:val="28"/>
                <w:u w:val="none"/>
                <w:lang w:val="en-US" w:eastAsia="zh-CN" w:bidi="ar"/>
              </w:rPr>
              <w:t>1</w:t>
            </w:r>
          </w:p>
        </w:tc>
        <w:tc>
          <w:tcPr>
            <w:tcW w:w="1942" w:type="dxa"/>
            <w:vAlign w:val="top"/>
          </w:tcPr>
          <w:p w14:paraId="63569615">
            <w:pPr>
              <w:keepNext w:val="0"/>
              <w:keepLines w:val="0"/>
              <w:widowControl/>
              <w:suppressLineNumbers w:val="0"/>
              <w:ind w:firstLine="280" w:firstLineChars="100"/>
              <w:jc w:val="center"/>
              <w:textAlignment w:val="top"/>
              <w:rPr>
                <w:rFonts w:hint="default" w:ascii="楷体" w:hAnsi="楷体" w:cs="楷体"/>
                <w:kern w:val="2"/>
                <w:sz w:val="28"/>
                <w:szCs w:val="28"/>
                <w:lang w:val="en-US" w:eastAsia="zh-CN" w:bidi="ar-SA"/>
              </w:rPr>
            </w:pPr>
            <w:r>
              <w:rPr>
                <w:rFonts w:hint="eastAsia" w:ascii="楷体" w:hAnsi="楷体" w:cs="楷体"/>
                <w:i w:val="0"/>
                <w:iCs w:val="0"/>
                <w:color w:val="000000"/>
                <w:kern w:val="0"/>
                <w:sz w:val="28"/>
                <w:szCs w:val="28"/>
                <w:u w:val="none"/>
                <w:lang w:val="en-US" w:eastAsia="zh-CN" w:bidi="ar"/>
              </w:rPr>
              <w:t>77.5%</w:t>
            </w:r>
          </w:p>
        </w:tc>
      </w:tr>
      <w:tr w14:paraId="1172B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364" w:type="dxa"/>
            <w:vAlign w:val="top"/>
          </w:tcPr>
          <w:p w14:paraId="439CF2AE">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default" w:ascii="楷体" w:hAnsi="楷体" w:eastAsia="楷体" w:cs="楷体"/>
                <w:kern w:val="2"/>
                <w:sz w:val="28"/>
                <w:szCs w:val="28"/>
                <w:lang w:val="en-US" w:eastAsia="zh-CN" w:bidi="ar-SA"/>
              </w:rPr>
            </w:pPr>
            <w:r>
              <w:rPr>
                <w:rFonts w:hint="eastAsia" w:ascii="楷体" w:hAnsi="楷体" w:cs="楷体"/>
                <w:kern w:val="2"/>
                <w:sz w:val="28"/>
                <w:szCs w:val="28"/>
                <w:lang w:val="en-US" w:eastAsia="zh-CN" w:bidi="ar-SA"/>
              </w:rPr>
              <w:t>4</w:t>
            </w:r>
          </w:p>
        </w:tc>
        <w:tc>
          <w:tcPr>
            <w:tcW w:w="1693" w:type="dxa"/>
            <w:vAlign w:val="top"/>
          </w:tcPr>
          <w:p w14:paraId="6FE38878">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default" w:ascii="楷体" w:hAnsi="楷体" w:cs="楷体"/>
                <w:kern w:val="2"/>
                <w:sz w:val="28"/>
                <w:szCs w:val="28"/>
                <w:lang w:val="en-US" w:eastAsia="zh-CN" w:bidi="ar-SA"/>
              </w:rPr>
            </w:pPr>
            <w:r>
              <w:rPr>
                <w:rFonts w:hint="eastAsia" w:ascii="楷体" w:hAnsi="楷体" w:cs="楷体"/>
                <w:kern w:val="2"/>
                <w:sz w:val="28"/>
                <w:szCs w:val="28"/>
                <w:lang w:val="en-US" w:eastAsia="zh-CN" w:bidi="ar-SA"/>
              </w:rPr>
              <w:t>效果</w:t>
            </w:r>
          </w:p>
        </w:tc>
        <w:tc>
          <w:tcPr>
            <w:tcW w:w="1578" w:type="dxa"/>
            <w:vAlign w:val="top"/>
          </w:tcPr>
          <w:p w14:paraId="7064CEC1">
            <w:pPr>
              <w:keepNext w:val="0"/>
              <w:keepLines w:val="0"/>
              <w:widowControl/>
              <w:suppressLineNumbers w:val="0"/>
              <w:ind w:firstLine="280" w:firstLineChars="100"/>
              <w:jc w:val="center"/>
              <w:textAlignment w:val="top"/>
              <w:rPr>
                <w:rFonts w:hint="default" w:ascii="楷体" w:hAnsi="楷体" w:eastAsia="楷体" w:cs="楷体"/>
                <w:kern w:val="2"/>
                <w:sz w:val="28"/>
                <w:szCs w:val="28"/>
                <w:lang w:val="en-US" w:eastAsia="zh-CN" w:bidi="ar-SA"/>
              </w:rPr>
            </w:pPr>
            <w:r>
              <w:rPr>
                <w:rFonts w:hint="eastAsia" w:ascii="楷体" w:hAnsi="楷体" w:eastAsia="楷体" w:cs="楷体"/>
                <w:i w:val="0"/>
                <w:iCs w:val="0"/>
                <w:color w:val="000000"/>
                <w:kern w:val="0"/>
                <w:sz w:val="28"/>
                <w:szCs w:val="28"/>
                <w:u w:val="none"/>
                <w:lang w:val="en-US" w:eastAsia="zh-CN" w:bidi="ar"/>
              </w:rPr>
              <w:t>20</w:t>
            </w:r>
          </w:p>
        </w:tc>
        <w:tc>
          <w:tcPr>
            <w:tcW w:w="1942" w:type="dxa"/>
            <w:vAlign w:val="top"/>
          </w:tcPr>
          <w:p w14:paraId="165CCD18">
            <w:pPr>
              <w:keepNext w:val="0"/>
              <w:keepLines w:val="0"/>
              <w:widowControl/>
              <w:suppressLineNumbers w:val="0"/>
              <w:ind w:firstLine="280" w:firstLineChars="100"/>
              <w:jc w:val="center"/>
              <w:textAlignment w:val="top"/>
              <w:rPr>
                <w:rFonts w:hint="default" w:ascii="楷体" w:hAnsi="楷体" w:eastAsia="楷体" w:cs="楷体"/>
                <w:kern w:val="2"/>
                <w:sz w:val="28"/>
                <w:szCs w:val="28"/>
                <w:lang w:val="en-US" w:eastAsia="zh-CN" w:bidi="ar-SA"/>
              </w:rPr>
            </w:pPr>
            <w:r>
              <w:rPr>
                <w:rFonts w:hint="eastAsia" w:ascii="楷体" w:hAnsi="楷体" w:eastAsia="楷体" w:cs="楷体"/>
                <w:i w:val="0"/>
                <w:iCs w:val="0"/>
                <w:color w:val="000000"/>
                <w:kern w:val="0"/>
                <w:sz w:val="28"/>
                <w:szCs w:val="28"/>
                <w:u w:val="none"/>
                <w:lang w:val="en-US" w:eastAsia="zh-CN" w:bidi="ar"/>
              </w:rPr>
              <w:t>15</w:t>
            </w:r>
          </w:p>
        </w:tc>
        <w:tc>
          <w:tcPr>
            <w:tcW w:w="1942" w:type="dxa"/>
            <w:vAlign w:val="top"/>
          </w:tcPr>
          <w:p w14:paraId="3D04B753">
            <w:pPr>
              <w:keepNext w:val="0"/>
              <w:keepLines w:val="0"/>
              <w:widowControl/>
              <w:suppressLineNumbers w:val="0"/>
              <w:ind w:firstLine="280" w:firstLineChars="100"/>
              <w:jc w:val="center"/>
              <w:textAlignment w:val="top"/>
              <w:rPr>
                <w:rFonts w:hint="default" w:ascii="楷体" w:hAnsi="楷体" w:cs="楷体"/>
                <w:kern w:val="2"/>
                <w:sz w:val="28"/>
                <w:szCs w:val="28"/>
                <w:lang w:val="en-US" w:eastAsia="zh-CN" w:bidi="ar-SA"/>
              </w:rPr>
            </w:pPr>
            <w:r>
              <w:rPr>
                <w:rFonts w:hint="eastAsia" w:ascii="楷体" w:hAnsi="楷体" w:eastAsia="楷体" w:cs="楷体"/>
                <w:i w:val="0"/>
                <w:iCs w:val="0"/>
                <w:color w:val="000000"/>
                <w:kern w:val="0"/>
                <w:sz w:val="28"/>
                <w:szCs w:val="28"/>
                <w:u w:val="none"/>
                <w:lang w:val="en-US" w:eastAsia="zh-CN" w:bidi="ar"/>
              </w:rPr>
              <w:t>75</w:t>
            </w:r>
            <w:r>
              <w:rPr>
                <w:rFonts w:hint="eastAsia" w:ascii="楷体" w:hAnsi="楷体" w:cs="楷体"/>
                <w:i w:val="0"/>
                <w:iCs w:val="0"/>
                <w:color w:val="000000"/>
                <w:kern w:val="0"/>
                <w:sz w:val="28"/>
                <w:szCs w:val="28"/>
                <w:u w:val="none"/>
                <w:lang w:val="en-US" w:eastAsia="zh-CN" w:bidi="ar"/>
              </w:rPr>
              <w:t>%</w:t>
            </w:r>
          </w:p>
        </w:tc>
      </w:tr>
      <w:tr w14:paraId="77D70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3057" w:type="dxa"/>
            <w:gridSpan w:val="2"/>
            <w:vAlign w:val="top"/>
          </w:tcPr>
          <w:p w14:paraId="1D8A9B01">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default" w:ascii="楷体" w:hAnsi="楷体" w:cs="楷体"/>
                <w:kern w:val="2"/>
                <w:sz w:val="28"/>
                <w:szCs w:val="28"/>
                <w:lang w:val="en-US" w:eastAsia="zh-CN" w:bidi="ar-SA"/>
              </w:rPr>
            </w:pPr>
            <w:r>
              <w:rPr>
                <w:rFonts w:hint="eastAsia" w:ascii="楷体" w:hAnsi="楷体" w:cs="楷体"/>
                <w:kern w:val="2"/>
                <w:sz w:val="28"/>
                <w:szCs w:val="28"/>
                <w:lang w:val="en-US" w:eastAsia="zh-CN" w:bidi="ar-SA"/>
              </w:rPr>
              <w:t>合计</w:t>
            </w:r>
          </w:p>
        </w:tc>
        <w:tc>
          <w:tcPr>
            <w:tcW w:w="1578" w:type="dxa"/>
            <w:vAlign w:val="top"/>
          </w:tcPr>
          <w:p w14:paraId="2D41DDFC">
            <w:pPr>
              <w:keepNext w:val="0"/>
              <w:keepLines w:val="0"/>
              <w:widowControl/>
              <w:suppressLineNumbers w:val="0"/>
              <w:ind w:firstLine="280" w:firstLineChars="100"/>
              <w:jc w:val="center"/>
              <w:textAlignment w:val="top"/>
              <w:rPr>
                <w:rFonts w:hint="default" w:ascii="楷体" w:hAnsi="楷体" w:eastAsia="楷体" w:cs="楷体"/>
                <w:kern w:val="2"/>
                <w:sz w:val="28"/>
                <w:szCs w:val="28"/>
                <w:lang w:val="en-US" w:eastAsia="zh-CN" w:bidi="ar-SA"/>
              </w:rPr>
            </w:pPr>
            <w:r>
              <w:rPr>
                <w:rFonts w:hint="eastAsia" w:ascii="楷体" w:hAnsi="楷体" w:eastAsia="楷体" w:cs="楷体"/>
                <w:i w:val="0"/>
                <w:iCs w:val="0"/>
                <w:color w:val="000000"/>
                <w:kern w:val="0"/>
                <w:sz w:val="28"/>
                <w:szCs w:val="28"/>
                <w:u w:val="none"/>
                <w:lang w:val="en-US" w:eastAsia="zh-CN" w:bidi="ar"/>
              </w:rPr>
              <w:t>100</w:t>
            </w:r>
          </w:p>
        </w:tc>
        <w:tc>
          <w:tcPr>
            <w:tcW w:w="1942" w:type="dxa"/>
            <w:vAlign w:val="top"/>
          </w:tcPr>
          <w:p w14:paraId="50403708">
            <w:pPr>
              <w:keepNext w:val="0"/>
              <w:keepLines w:val="0"/>
              <w:widowControl/>
              <w:suppressLineNumbers w:val="0"/>
              <w:ind w:firstLine="280" w:firstLineChars="100"/>
              <w:jc w:val="center"/>
              <w:textAlignment w:val="top"/>
              <w:rPr>
                <w:rFonts w:hint="default" w:ascii="楷体" w:hAnsi="楷体" w:eastAsia="楷体" w:cs="楷体"/>
                <w:kern w:val="2"/>
                <w:sz w:val="28"/>
                <w:szCs w:val="28"/>
                <w:lang w:val="en-US" w:eastAsia="zh-CN" w:bidi="ar-SA"/>
              </w:rPr>
            </w:pPr>
            <w:r>
              <w:rPr>
                <w:rFonts w:hint="eastAsia" w:ascii="楷体" w:hAnsi="楷体" w:eastAsia="楷体" w:cs="楷体"/>
                <w:i w:val="0"/>
                <w:iCs w:val="0"/>
                <w:color w:val="000000"/>
                <w:kern w:val="0"/>
                <w:sz w:val="28"/>
                <w:szCs w:val="28"/>
                <w:u w:val="none"/>
                <w:lang w:val="en-US" w:eastAsia="zh-CN" w:bidi="ar"/>
              </w:rPr>
              <w:t>8</w:t>
            </w:r>
            <w:r>
              <w:rPr>
                <w:rFonts w:hint="eastAsia" w:ascii="楷体" w:hAnsi="楷体" w:cs="楷体"/>
                <w:i w:val="0"/>
                <w:iCs w:val="0"/>
                <w:color w:val="000000"/>
                <w:kern w:val="0"/>
                <w:sz w:val="28"/>
                <w:szCs w:val="28"/>
                <w:u w:val="none"/>
                <w:lang w:val="en-US" w:eastAsia="zh-CN" w:bidi="ar"/>
              </w:rPr>
              <w:t>0</w:t>
            </w:r>
          </w:p>
        </w:tc>
        <w:tc>
          <w:tcPr>
            <w:tcW w:w="1942" w:type="dxa"/>
            <w:vAlign w:val="top"/>
          </w:tcPr>
          <w:p w14:paraId="63A675E8">
            <w:pPr>
              <w:keepNext w:val="0"/>
              <w:keepLines w:val="0"/>
              <w:widowControl/>
              <w:suppressLineNumbers w:val="0"/>
              <w:ind w:firstLine="280" w:firstLineChars="100"/>
              <w:jc w:val="center"/>
              <w:textAlignment w:val="top"/>
              <w:rPr>
                <w:rFonts w:hint="default" w:ascii="楷体" w:hAnsi="楷体" w:cs="楷体"/>
                <w:kern w:val="2"/>
                <w:sz w:val="28"/>
                <w:szCs w:val="28"/>
                <w:lang w:val="en-US" w:eastAsia="zh-CN" w:bidi="ar-SA"/>
              </w:rPr>
            </w:pPr>
            <w:r>
              <w:rPr>
                <w:rFonts w:hint="eastAsia" w:ascii="楷体" w:hAnsi="楷体" w:eastAsia="楷体" w:cs="楷体"/>
                <w:i w:val="0"/>
                <w:iCs w:val="0"/>
                <w:color w:val="000000"/>
                <w:kern w:val="0"/>
                <w:sz w:val="28"/>
                <w:szCs w:val="28"/>
                <w:u w:val="none"/>
                <w:lang w:val="en-US" w:eastAsia="zh-CN" w:bidi="ar"/>
              </w:rPr>
              <w:t>8</w:t>
            </w:r>
            <w:r>
              <w:rPr>
                <w:rFonts w:hint="eastAsia" w:ascii="楷体" w:hAnsi="楷体" w:cs="楷体"/>
                <w:i w:val="0"/>
                <w:iCs w:val="0"/>
                <w:color w:val="000000"/>
                <w:kern w:val="0"/>
                <w:sz w:val="28"/>
                <w:szCs w:val="28"/>
                <w:u w:val="none"/>
                <w:lang w:val="en-US" w:eastAsia="zh-CN" w:bidi="ar"/>
              </w:rPr>
              <w:t>0%</w:t>
            </w:r>
          </w:p>
        </w:tc>
      </w:tr>
    </w:tbl>
    <w:p w14:paraId="2ADA1C91">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560" w:firstLineChars="200"/>
        <w:jc w:val="both"/>
        <w:textAlignment w:val="auto"/>
        <w:outlineLvl w:val="9"/>
        <w:rPr>
          <w:rFonts w:hint="eastAsia" w:ascii="楷体" w:hAnsi="楷体" w:cs="楷体"/>
          <w:b w:val="0"/>
          <w:bCs w:val="0"/>
          <w:sz w:val="28"/>
          <w:szCs w:val="28"/>
          <w:lang w:eastAsia="zh-CN"/>
        </w:rPr>
      </w:pPr>
      <w:bookmarkStart w:id="28" w:name="_Toc400"/>
      <w:r>
        <w:rPr>
          <w:rFonts w:hint="eastAsia" w:ascii="楷体" w:hAnsi="楷体" w:cs="楷体"/>
          <w:b w:val="0"/>
          <w:bCs w:val="0"/>
          <w:sz w:val="28"/>
          <w:szCs w:val="28"/>
          <w:lang w:eastAsia="zh-CN"/>
        </w:rPr>
        <w:t>综上可以看出，本项目的过程较好，但是投入、产出和效果方面存在一定缺陷，如政策知晓率不高、目标不够细化等方面问题，还有待进一步的优化完善。</w:t>
      </w:r>
    </w:p>
    <w:bookmarkEnd w:id="28"/>
    <w:p w14:paraId="3D612556">
      <w:pPr>
        <w:pStyle w:val="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0" w:leftChars="0" w:firstLine="0" w:firstLineChars="0"/>
        <w:jc w:val="both"/>
        <w:textAlignment w:val="auto"/>
        <w:outlineLvl w:val="0"/>
        <w:rPr>
          <w:rFonts w:hint="eastAsia" w:ascii="楷体" w:hAnsi="楷体" w:cs="楷体"/>
          <w:b/>
          <w:bCs/>
          <w:sz w:val="28"/>
          <w:szCs w:val="28"/>
        </w:rPr>
      </w:pPr>
      <w:bookmarkStart w:id="29" w:name="_Toc9500"/>
      <w:r>
        <w:rPr>
          <w:rFonts w:hint="eastAsia" w:ascii="楷体" w:hAnsi="楷体" w:cs="楷体"/>
          <w:b/>
          <w:bCs/>
          <w:sz w:val="28"/>
          <w:szCs w:val="28"/>
        </w:rPr>
        <w:t>存在问题</w:t>
      </w:r>
      <w:bookmarkEnd w:id="29"/>
    </w:p>
    <w:p w14:paraId="2A90A294">
      <w:pPr>
        <w:pStyle w:val="4"/>
        <w:numPr>
          <w:ilvl w:val="0"/>
          <w:numId w:val="3"/>
        </w:numPr>
        <w:ind w:left="0" w:leftChars="0" w:firstLine="300" w:firstLineChars="100"/>
        <w:rPr>
          <w:rFonts w:hint="eastAsia"/>
        </w:rPr>
      </w:pPr>
      <w:r>
        <w:rPr>
          <w:rFonts w:hint="eastAsia"/>
        </w:rPr>
        <w:t>部分县区资金发放不及时，未能按时发放补贴资金，存在补发现象，不符合政策文件的要求。</w:t>
      </w:r>
    </w:p>
    <w:p w14:paraId="3A26F10D">
      <w:pPr>
        <w:pStyle w:val="4"/>
        <w:ind w:left="0" w:leftChars="0" w:firstLine="300" w:firstLineChars="100"/>
        <w:rPr>
          <w:rFonts w:hint="eastAsia"/>
        </w:rPr>
      </w:pPr>
      <w:r>
        <w:rPr>
          <w:rFonts w:hint="eastAsia"/>
        </w:rPr>
        <w:t>2、定期检查核查制度的</w:t>
      </w:r>
      <w:r>
        <w:rPr>
          <w:rFonts w:hint="eastAsia"/>
          <w:lang w:eastAsia="zh-CN"/>
        </w:rPr>
        <w:t>不</w:t>
      </w:r>
      <w:r>
        <w:rPr>
          <w:rFonts w:hint="eastAsia"/>
        </w:rPr>
        <w:t>健全</w:t>
      </w:r>
      <w:r>
        <w:rPr>
          <w:rFonts w:hint="eastAsia"/>
          <w:lang w:eastAsia="zh-CN"/>
        </w:rPr>
        <w:t>未按制度要求严格</w:t>
      </w:r>
      <w:r>
        <w:rPr>
          <w:rFonts w:hint="eastAsia"/>
        </w:rPr>
        <w:t>执行，评价中发现各县（市、区）虽都进行了定期复核，但部分县市</w:t>
      </w:r>
      <w:r>
        <w:rPr>
          <w:rFonts w:hint="eastAsia"/>
          <w:lang w:eastAsia="zh-CN"/>
        </w:rPr>
        <w:t>仍</w:t>
      </w:r>
      <w:r>
        <w:rPr>
          <w:rFonts w:hint="eastAsia"/>
        </w:rPr>
        <w:t>出现未按补贴标准发放补贴、不到年龄发放补贴的情况。</w:t>
      </w:r>
    </w:p>
    <w:p w14:paraId="60D5434D">
      <w:pPr>
        <w:pStyle w:val="4"/>
        <w:ind w:left="0" w:leftChars="0" w:firstLine="300" w:firstLineChars="100"/>
        <w:rPr>
          <w:rFonts w:hint="eastAsia" w:eastAsia="楷体"/>
          <w:lang w:val="en-US" w:eastAsia="zh-CN"/>
        </w:rPr>
      </w:pPr>
      <w:r>
        <w:rPr>
          <w:rFonts w:hint="eastAsia"/>
          <w:lang w:val="en-US" w:eastAsia="zh-CN"/>
        </w:rPr>
        <w:t>3</w:t>
      </w:r>
      <w:r>
        <w:rPr>
          <w:rFonts w:hint="eastAsia"/>
        </w:rPr>
        <w:t>、需进一步提高政策的知晓率，调查中发现有</w:t>
      </w:r>
      <w:r>
        <w:rPr>
          <w:rFonts w:hint="eastAsia"/>
          <w:lang w:eastAsia="zh-CN"/>
        </w:rPr>
        <w:t>部分群众</w:t>
      </w:r>
      <w:r>
        <w:rPr>
          <w:rFonts w:hint="eastAsia"/>
        </w:rPr>
        <w:t>不了解该</w:t>
      </w:r>
      <w:r>
        <w:rPr>
          <w:rFonts w:hint="eastAsia"/>
          <w:lang w:eastAsia="zh-CN"/>
        </w:rPr>
        <w:t>高龄补贴</w:t>
      </w:r>
      <w:r>
        <w:rPr>
          <w:rFonts w:hint="eastAsia"/>
        </w:rPr>
        <w:t>政策</w:t>
      </w:r>
      <w:r>
        <w:rPr>
          <w:rFonts w:hint="eastAsia"/>
          <w:lang w:eastAsia="zh-CN"/>
        </w:rPr>
        <w:t>。</w:t>
      </w:r>
    </w:p>
    <w:p w14:paraId="3F58EE85">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both"/>
        <w:textAlignment w:val="auto"/>
        <w:outlineLvl w:val="0"/>
        <w:rPr>
          <w:rFonts w:hint="eastAsia" w:ascii="楷体" w:hAnsi="楷体" w:cs="楷体"/>
          <w:b/>
          <w:bCs/>
          <w:sz w:val="28"/>
          <w:szCs w:val="28"/>
        </w:rPr>
      </w:pPr>
      <w:bookmarkStart w:id="30" w:name="_Toc12809"/>
      <w:r>
        <w:rPr>
          <w:rFonts w:hint="eastAsia" w:ascii="楷体" w:hAnsi="楷体" w:cs="楷体"/>
          <w:b/>
          <w:bCs/>
          <w:sz w:val="28"/>
          <w:szCs w:val="28"/>
          <w:lang w:val="en-US" w:eastAsia="zh-CN"/>
        </w:rPr>
        <w:t>五、</w:t>
      </w:r>
      <w:r>
        <w:rPr>
          <w:rFonts w:hint="eastAsia" w:ascii="楷体" w:hAnsi="楷体" w:cs="楷体"/>
          <w:b/>
          <w:bCs/>
          <w:sz w:val="28"/>
          <w:szCs w:val="28"/>
        </w:rPr>
        <w:t>相关建议</w:t>
      </w:r>
      <w:bookmarkEnd w:id="30"/>
    </w:p>
    <w:p w14:paraId="43F315C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outlineLvl w:val="9"/>
        <w:rPr>
          <w:rFonts w:hint="eastAsia" w:ascii="楷体" w:hAnsi="楷体" w:cs="楷体"/>
          <w:sz w:val="28"/>
          <w:szCs w:val="28"/>
          <w:lang w:val="en-US" w:eastAsia="zh-CN"/>
        </w:rPr>
      </w:pPr>
      <w:r>
        <w:rPr>
          <w:rFonts w:hint="eastAsia" w:ascii="楷体" w:hAnsi="楷体" w:cs="楷体"/>
          <w:sz w:val="28"/>
          <w:szCs w:val="28"/>
          <w:lang w:val="en-US" w:eastAsia="zh-CN"/>
        </w:rPr>
        <w:t>经初步评价，本项目运行维护整体状况良好，评价结果为“良”，对相对突出的问题提出以下建议：</w:t>
      </w:r>
    </w:p>
    <w:p w14:paraId="124652EA">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840" w:firstLineChars="300"/>
        <w:jc w:val="left"/>
        <w:textAlignment w:val="auto"/>
        <w:outlineLvl w:val="9"/>
        <w:rPr>
          <w:rFonts w:hint="eastAsia" w:ascii="楷体" w:hAnsi="楷体" w:cs="楷体"/>
          <w:sz w:val="28"/>
          <w:szCs w:val="28"/>
          <w:lang w:val="en-US" w:eastAsia="zh-CN"/>
        </w:rPr>
      </w:pPr>
      <w:r>
        <w:rPr>
          <w:rFonts w:hint="eastAsia" w:ascii="楷体" w:hAnsi="楷体" w:cs="楷体"/>
          <w:sz w:val="28"/>
          <w:szCs w:val="28"/>
          <w:lang w:val="en-US" w:eastAsia="zh-CN"/>
        </w:rPr>
        <w:t>1.建立健全高领津贴定期检查核查制度并按制度要求严格执行。</w:t>
      </w:r>
    </w:p>
    <w:p w14:paraId="1A882353">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840" w:firstLineChars="300"/>
        <w:jc w:val="left"/>
        <w:textAlignment w:val="auto"/>
        <w:outlineLvl w:val="9"/>
        <w:rPr>
          <w:rFonts w:hint="eastAsia" w:ascii="楷体" w:hAnsi="楷体" w:cs="楷体"/>
          <w:sz w:val="28"/>
          <w:szCs w:val="28"/>
          <w:lang w:val="en-US" w:eastAsia="zh-CN"/>
        </w:rPr>
      </w:pPr>
      <w:r>
        <w:rPr>
          <w:rFonts w:hint="eastAsia" w:ascii="楷体" w:hAnsi="楷体" w:cs="楷体"/>
          <w:sz w:val="28"/>
          <w:szCs w:val="28"/>
          <w:lang w:val="en-US" w:eastAsia="zh-CN"/>
        </w:rPr>
        <w:t>2.加强监督、复核工作，进一步提高高龄补贴对象认定准确率；避免不符合年龄要求的发放高龄津贴。</w:t>
      </w:r>
    </w:p>
    <w:p w14:paraId="69327B73">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840" w:firstLineChars="300"/>
        <w:jc w:val="left"/>
        <w:textAlignment w:val="auto"/>
        <w:outlineLvl w:val="9"/>
        <w:rPr>
          <w:rFonts w:hint="eastAsia" w:ascii="楷体" w:hAnsi="楷体" w:cs="楷体"/>
          <w:sz w:val="28"/>
          <w:szCs w:val="28"/>
          <w:lang w:val="en-US" w:eastAsia="zh-CN"/>
        </w:rPr>
      </w:pPr>
      <w:r>
        <w:rPr>
          <w:rFonts w:hint="eastAsia" w:ascii="楷体" w:hAnsi="楷体" w:cs="楷体"/>
          <w:sz w:val="28"/>
          <w:szCs w:val="28"/>
          <w:lang w:val="en-US" w:eastAsia="zh-CN"/>
        </w:rPr>
        <w:t>3.对符合领取高龄津贴的人员，要及时、足额的发放津贴，避免出现晚发、少发的情况。</w:t>
      </w:r>
    </w:p>
    <w:p w14:paraId="14151203">
      <w:pPr>
        <w:pStyle w:val="2"/>
        <w:rPr>
          <w:rFonts w:hint="default"/>
          <w:lang w:val="en-US" w:eastAsia="zh-CN"/>
        </w:rPr>
      </w:pPr>
      <w:r>
        <w:rPr>
          <w:rFonts w:hint="eastAsia" w:ascii="楷体" w:hAnsi="楷体" w:cs="楷体"/>
          <w:sz w:val="28"/>
          <w:szCs w:val="28"/>
          <w:lang w:val="en-US" w:eastAsia="zh-CN"/>
        </w:rPr>
        <w:t xml:space="preserve">    4.及时对符合条件的高龄人员进行年龄审核，按规定的各年龄段的补贴标准按时发放补贴。</w:t>
      </w:r>
    </w:p>
    <w:p w14:paraId="71FA6157">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840" w:firstLineChars="300"/>
        <w:jc w:val="left"/>
        <w:textAlignment w:val="auto"/>
        <w:outlineLvl w:val="9"/>
        <w:rPr>
          <w:rFonts w:hint="eastAsia" w:ascii="楷体" w:hAnsi="楷体" w:cs="楷体"/>
          <w:sz w:val="28"/>
          <w:szCs w:val="28"/>
          <w:lang w:val="en-US" w:eastAsia="zh-CN"/>
        </w:rPr>
      </w:pPr>
      <w:r>
        <w:rPr>
          <w:rFonts w:hint="eastAsia" w:ascii="楷体" w:hAnsi="楷体" w:cs="楷体"/>
          <w:sz w:val="28"/>
          <w:szCs w:val="28"/>
          <w:lang w:val="en-US" w:eastAsia="zh-CN"/>
        </w:rPr>
        <w:t>5.有关部门应加强宣传，使人民群众能够充分了解到相关政策，提高人民群众对政策的知晓率，让每一位符合条件的高龄老人都可以享受到国家的福利政策。</w:t>
      </w:r>
    </w:p>
    <w:p w14:paraId="234A141D">
      <w:pPr>
        <w:pStyle w:val="4"/>
        <w:rPr>
          <w:rFonts w:hint="eastAsia"/>
          <w:lang w:eastAsia="zh-CN"/>
        </w:rPr>
      </w:pPr>
    </w:p>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汉仪中宋简">
    <w:altName w:val="宋体"/>
    <w:panose1 w:val="02010600000101010101"/>
    <w:charset w:val="86"/>
    <w:family w:val="auto"/>
    <w:pitch w:val="default"/>
    <w:sig w:usb0="00000000" w:usb1="00000000" w:usb2="00000002"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AFCF2">
    <w:pPr>
      <w:pStyle w:val="11"/>
      <w:ind w:firstLine="400"/>
      <w:jc w:val="center"/>
      <w:rPr>
        <w:rFonts w:ascii="宋体" w:hAnsi="宋体" w:eastAsia="宋体"/>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A3E9F4">
                          <w:pPr>
                            <w:pStyle w:val="11"/>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35A3E9F4">
                    <w:pPr>
                      <w:pStyle w:val="11"/>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00"/>
      </w:pPr>
      <w:r>
        <w:separator/>
      </w:r>
    </w:p>
  </w:footnote>
  <w:footnote w:type="continuationSeparator" w:id="1">
    <w:p>
      <w:pPr>
        <w:spacing w:line="360" w:lineRule="auto"/>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29DCC">
    <w:pPr>
      <w:pStyle w:val="12"/>
      <w:pBdr>
        <w:bottom w:val="none" w:color="auto" w:sz="0" w:space="1"/>
      </w:pBdr>
      <w:spacing w:line="240" w:lineRule="auto"/>
      <w:ind w:left="0" w:leftChars="0" w:firstLine="0" w:firstLineChars="0"/>
      <w:jc w:val="both"/>
      <w:rPr>
        <w:rFonts w:hint="eastAsia"/>
      </w:rPr>
    </w:pPr>
  </w:p>
  <w:p w14:paraId="4EA56F02">
    <w:pPr>
      <w:pStyle w:val="12"/>
      <w:pBdr>
        <w:bottom w:val="thinThickLargeGap" w:color="auto" w:sz="4" w:space="1"/>
      </w:pBdr>
      <w:spacing w:line="240" w:lineRule="auto"/>
      <w:ind w:left="0" w:leftChars="0" w:firstLine="0" w:firstLineChars="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D6CDB9"/>
    <w:multiLevelType w:val="singleLevel"/>
    <w:tmpl w:val="DFD6CDB9"/>
    <w:lvl w:ilvl="0" w:tentative="0">
      <w:start w:val="1"/>
      <w:numFmt w:val="decimal"/>
      <w:suff w:val="nothing"/>
      <w:lvlText w:val="%1、"/>
      <w:lvlJc w:val="left"/>
    </w:lvl>
  </w:abstractNum>
  <w:abstractNum w:abstractNumId="1">
    <w:nsid w:val="EE03CC80"/>
    <w:multiLevelType w:val="singleLevel"/>
    <w:tmpl w:val="EE03CC80"/>
    <w:lvl w:ilvl="0" w:tentative="0">
      <w:start w:val="2"/>
      <w:numFmt w:val="chineseCounting"/>
      <w:suff w:val="nothing"/>
      <w:lvlText w:val="%1、"/>
      <w:lvlJc w:val="left"/>
      <w:rPr>
        <w:rFonts w:hint="eastAsia"/>
      </w:rPr>
    </w:lvl>
  </w:abstractNum>
  <w:abstractNum w:abstractNumId="2">
    <w:nsid w:val="70971B62"/>
    <w:multiLevelType w:val="multilevel"/>
    <w:tmpl w:val="70971B62"/>
    <w:lvl w:ilvl="0" w:tentative="0">
      <w:start w:val="1"/>
      <w:numFmt w:val="decimal"/>
      <w:lvlText w:val="第 %1 章 "/>
      <w:lvlJc w:val="left"/>
      <w:pPr>
        <w:ind w:left="425" w:hanging="425"/>
      </w:pPr>
      <w:rPr>
        <w:rFonts w:hint="default" w:ascii="Times New Roman" w:hAnsi="Times New Roman"/>
      </w:rPr>
    </w:lvl>
    <w:lvl w:ilvl="1" w:tentative="0">
      <w:start w:val="1"/>
      <w:numFmt w:val="decimal"/>
      <w:pStyle w:val="7"/>
      <w:suff w:val="space"/>
      <w:lvlText w:val="%1.%2 "/>
      <w:lvlJc w:val="left"/>
      <w:pPr>
        <w:ind w:left="567" w:hanging="567"/>
      </w:pPr>
      <w:rPr>
        <w:rFonts w:hint="eastAsia"/>
      </w:rPr>
    </w:lvl>
    <w:lvl w:ilvl="2" w:tentative="0">
      <w:start w:val="1"/>
      <w:numFmt w:val="decimal"/>
      <w:suff w:val="space"/>
      <w:lvlText w:val="%1.%2.%3"/>
      <w:lvlJc w:val="left"/>
      <w:pPr>
        <w:ind w:left="0" w:firstLine="0"/>
      </w:pPr>
      <w:rPr>
        <w:rFonts w:hint="eastAsia" w:ascii="华文中宋" w:hAnsi="华文中宋" w:eastAsia="华文中宋" w:cs="Times New Roman"/>
        <w:b w:val="0"/>
        <w:bCs w:val="0"/>
        <w:i w:val="0"/>
        <w:iCs w:val="0"/>
        <w:caps w:val="0"/>
        <w:smallCaps w:val="0"/>
        <w:strike w:val="0"/>
        <w:dstrike w:val="0"/>
        <w:vanish w:val="0"/>
        <w:spacing w:val="0"/>
        <w:kern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9A4677"/>
    <w:rsid w:val="00414DC2"/>
    <w:rsid w:val="00537C28"/>
    <w:rsid w:val="00B93F4A"/>
    <w:rsid w:val="02380E83"/>
    <w:rsid w:val="026C6D7F"/>
    <w:rsid w:val="02CF1CD6"/>
    <w:rsid w:val="030752FD"/>
    <w:rsid w:val="030B0355"/>
    <w:rsid w:val="03764359"/>
    <w:rsid w:val="03F62706"/>
    <w:rsid w:val="04253689"/>
    <w:rsid w:val="048C5A1D"/>
    <w:rsid w:val="04A2314A"/>
    <w:rsid w:val="054E467A"/>
    <w:rsid w:val="055F63AE"/>
    <w:rsid w:val="05C84C14"/>
    <w:rsid w:val="05FB6D97"/>
    <w:rsid w:val="062A142B"/>
    <w:rsid w:val="064029FC"/>
    <w:rsid w:val="064F52C4"/>
    <w:rsid w:val="06ED4C5D"/>
    <w:rsid w:val="07293490"/>
    <w:rsid w:val="073E63D7"/>
    <w:rsid w:val="07F40ADE"/>
    <w:rsid w:val="091D0DD3"/>
    <w:rsid w:val="0951584A"/>
    <w:rsid w:val="09646A02"/>
    <w:rsid w:val="0CCE33FA"/>
    <w:rsid w:val="0CD30CF4"/>
    <w:rsid w:val="0D1A67C9"/>
    <w:rsid w:val="0ECF2B6F"/>
    <w:rsid w:val="0F6B0AEA"/>
    <w:rsid w:val="0FCE72CB"/>
    <w:rsid w:val="0FEF171B"/>
    <w:rsid w:val="10954FA5"/>
    <w:rsid w:val="11217A74"/>
    <w:rsid w:val="12335BDA"/>
    <w:rsid w:val="12B74046"/>
    <w:rsid w:val="12E110C3"/>
    <w:rsid w:val="12F812FB"/>
    <w:rsid w:val="130D0786"/>
    <w:rsid w:val="13A6187A"/>
    <w:rsid w:val="144813FA"/>
    <w:rsid w:val="14C750BF"/>
    <w:rsid w:val="150F30DC"/>
    <w:rsid w:val="154122A7"/>
    <w:rsid w:val="15764F25"/>
    <w:rsid w:val="15E05662"/>
    <w:rsid w:val="16307E19"/>
    <w:rsid w:val="16730284"/>
    <w:rsid w:val="17435088"/>
    <w:rsid w:val="18297794"/>
    <w:rsid w:val="18A1732B"/>
    <w:rsid w:val="1945401D"/>
    <w:rsid w:val="19863088"/>
    <w:rsid w:val="19D70692"/>
    <w:rsid w:val="1AFD0AEB"/>
    <w:rsid w:val="1B0167A6"/>
    <w:rsid w:val="1B1F4E7E"/>
    <w:rsid w:val="1B336C2A"/>
    <w:rsid w:val="1B7156DA"/>
    <w:rsid w:val="1B975102"/>
    <w:rsid w:val="1BC872C4"/>
    <w:rsid w:val="1BFC2ACA"/>
    <w:rsid w:val="1C1222ED"/>
    <w:rsid w:val="1C2770D6"/>
    <w:rsid w:val="1D0C2F88"/>
    <w:rsid w:val="1D2F2FB7"/>
    <w:rsid w:val="1E135BC1"/>
    <w:rsid w:val="1E230916"/>
    <w:rsid w:val="1F062A25"/>
    <w:rsid w:val="1FFB37C4"/>
    <w:rsid w:val="202D1DEC"/>
    <w:rsid w:val="20672C08"/>
    <w:rsid w:val="20880DD0"/>
    <w:rsid w:val="20A83220"/>
    <w:rsid w:val="20DB1848"/>
    <w:rsid w:val="211064B5"/>
    <w:rsid w:val="213F44FB"/>
    <w:rsid w:val="2148356E"/>
    <w:rsid w:val="218B514B"/>
    <w:rsid w:val="21F26EE5"/>
    <w:rsid w:val="2255553A"/>
    <w:rsid w:val="22A82218"/>
    <w:rsid w:val="22EC7DFB"/>
    <w:rsid w:val="230F7587"/>
    <w:rsid w:val="237A5348"/>
    <w:rsid w:val="23C30A9D"/>
    <w:rsid w:val="2455546D"/>
    <w:rsid w:val="246A147A"/>
    <w:rsid w:val="24F7620A"/>
    <w:rsid w:val="25423C43"/>
    <w:rsid w:val="261571B4"/>
    <w:rsid w:val="28377363"/>
    <w:rsid w:val="289D587D"/>
    <w:rsid w:val="28A644E9"/>
    <w:rsid w:val="2907593D"/>
    <w:rsid w:val="299A4677"/>
    <w:rsid w:val="29BF6D4D"/>
    <w:rsid w:val="2A6252AC"/>
    <w:rsid w:val="2A8113B9"/>
    <w:rsid w:val="2AAD355A"/>
    <w:rsid w:val="2B8A6344"/>
    <w:rsid w:val="2BB60E52"/>
    <w:rsid w:val="2BC25ADE"/>
    <w:rsid w:val="2BEF73A1"/>
    <w:rsid w:val="2C9C1E8B"/>
    <w:rsid w:val="2CDC672B"/>
    <w:rsid w:val="2D834F0A"/>
    <w:rsid w:val="2E2E1209"/>
    <w:rsid w:val="2E555FE9"/>
    <w:rsid w:val="2EFC4E63"/>
    <w:rsid w:val="2F0957D2"/>
    <w:rsid w:val="2F3C1703"/>
    <w:rsid w:val="2F5C3B54"/>
    <w:rsid w:val="3019244B"/>
    <w:rsid w:val="30B33C47"/>
    <w:rsid w:val="31155E8F"/>
    <w:rsid w:val="31717D8A"/>
    <w:rsid w:val="3182099E"/>
    <w:rsid w:val="322C1F03"/>
    <w:rsid w:val="325356E2"/>
    <w:rsid w:val="339C5D7D"/>
    <w:rsid w:val="33AB6E58"/>
    <w:rsid w:val="33EA5677"/>
    <w:rsid w:val="35223149"/>
    <w:rsid w:val="359A4C26"/>
    <w:rsid w:val="35C76B73"/>
    <w:rsid w:val="35D216C3"/>
    <w:rsid w:val="361E5DAE"/>
    <w:rsid w:val="36CA3A99"/>
    <w:rsid w:val="37024FE0"/>
    <w:rsid w:val="37060F75"/>
    <w:rsid w:val="37333541"/>
    <w:rsid w:val="375C0B95"/>
    <w:rsid w:val="37B1499B"/>
    <w:rsid w:val="38284F1B"/>
    <w:rsid w:val="386A259D"/>
    <w:rsid w:val="394575F2"/>
    <w:rsid w:val="3995038E"/>
    <w:rsid w:val="39BF24B5"/>
    <w:rsid w:val="39F257E0"/>
    <w:rsid w:val="3A072229"/>
    <w:rsid w:val="3A192D6D"/>
    <w:rsid w:val="3A72608E"/>
    <w:rsid w:val="3AAA60BB"/>
    <w:rsid w:val="3AE01ADD"/>
    <w:rsid w:val="3AFC14E4"/>
    <w:rsid w:val="3B223194"/>
    <w:rsid w:val="3B516536"/>
    <w:rsid w:val="3B542A9C"/>
    <w:rsid w:val="3CBB5822"/>
    <w:rsid w:val="3D0715A3"/>
    <w:rsid w:val="3DFB7DA0"/>
    <w:rsid w:val="3F0062A9"/>
    <w:rsid w:val="3F3D74FE"/>
    <w:rsid w:val="3F7F028A"/>
    <w:rsid w:val="3F80563C"/>
    <w:rsid w:val="3F8A0269"/>
    <w:rsid w:val="3FC84837"/>
    <w:rsid w:val="3FFF47B3"/>
    <w:rsid w:val="403F1E61"/>
    <w:rsid w:val="409F1AF2"/>
    <w:rsid w:val="40E449BF"/>
    <w:rsid w:val="41A2189A"/>
    <w:rsid w:val="420F1BBB"/>
    <w:rsid w:val="430D4B89"/>
    <w:rsid w:val="433075B5"/>
    <w:rsid w:val="44986F84"/>
    <w:rsid w:val="45527C7D"/>
    <w:rsid w:val="45972280"/>
    <w:rsid w:val="45D94494"/>
    <w:rsid w:val="45FA22DC"/>
    <w:rsid w:val="469650DC"/>
    <w:rsid w:val="46C223DF"/>
    <w:rsid w:val="477F442B"/>
    <w:rsid w:val="47ED5839"/>
    <w:rsid w:val="486310EF"/>
    <w:rsid w:val="48AE321A"/>
    <w:rsid w:val="49614257"/>
    <w:rsid w:val="49880CCF"/>
    <w:rsid w:val="4A1341D5"/>
    <w:rsid w:val="4B4E4840"/>
    <w:rsid w:val="4BB66C30"/>
    <w:rsid w:val="4C0F4A8C"/>
    <w:rsid w:val="4C2C7FD9"/>
    <w:rsid w:val="4C386978"/>
    <w:rsid w:val="4C442D63"/>
    <w:rsid w:val="4CA613D4"/>
    <w:rsid w:val="4CAA6AE6"/>
    <w:rsid w:val="4D4C612C"/>
    <w:rsid w:val="4E637839"/>
    <w:rsid w:val="501A5324"/>
    <w:rsid w:val="50962F12"/>
    <w:rsid w:val="51007ABC"/>
    <w:rsid w:val="511C6C0A"/>
    <w:rsid w:val="51B3364F"/>
    <w:rsid w:val="522F4F4B"/>
    <w:rsid w:val="525858CB"/>
    <w:rsid w:val="52A80CDA"/>
    <w:rsid w:val="535B7EEE"/>
    <w:rsid w:val="5411487D"/>
    <w:rsid w:val="544F62F1"/>
    <w:rsid w:val="548D2F3F"/>
    <w:rsid w:val="5503479E"/>
    <w:rsid w:val="550F65C9"/>
    <w:rsid w:val="55221C28"/>
    <w:rsid w:val="552D3BD5"/>
    <w:rsid w:val="55FB55C5"/>
    <w:rsid w:val="56050E69"/>
    <w:rsid w:val="56FA587C"/>
    <w:rsid w:val="57EE718F"/>
    <w:rsid w:val="58A91308"/>
    <w:rsid w:val="58B24875"/>
    <w:rsid w:val="58F6145A"/>
    <w:rsid w:val="59215342"/>
    <w:rsid w:val="592436CA"/>
    <w:rsid w:val="59B3500B"/>
    <w:rsid w:val="59FF38D6"/>
    <w:rsid w:val="5AC97A40"/>
    <w:rsid w:val="5BF12758"/>
    <w:rsid w:val="5C2E2250"/>
    <w:rsid w:val="5C5B0B6B"/>
    <w:rsid w:val="5C8D32BE"/>
    <w:rsid w:val="5CCE3A33"/>
    <w:rsid w:val="5D561A7B"/>
    <w:rsid w:val="5D7527BB"/>
    <w:rsid w:val="5D99194B"/>
    <w:rsid w:val="5DBD4B5A"/>
    <w:rsid w:val="5DBE71A2"/>
    <w:rsid w:val="5E123573"/>
    <w:rsid w:val="5E2733FB"/>
    <w:rsid w:val="5E8C325E"/>
    <w:rsid w:val="5ECA64BB"/>
    <w:rsid w:val="5F8328B3"/>
    <w:rsid w:val="5FEBD4BD"/>
    <w:rsid w:val="60FB676C"/>
    <w:rsid w:val="6151078F"/>
    <w:rsid w:val="616F7851"/>
    <w:rsid w:val="61D92C5E"/>
    <w:rsid w:val="624B51DE"/>
    <w:rsid w:val="62CE02E9"/>
    <w:rsid w:val="6397692D"/>
    <w:rsid w:val="63E378AA"/>
    <w:rsid w:val="64267CB1"/>
    <w:rsid w:val="6457430E"/>
    <w:rsid w:val="645D22F3"/>
    <w:rsid w:val="647E5D3F"/>
    <w:rsid w:val="64E56AF8"/>
    <w:rsid w:val="64FB738F"/>
    <w:rsid w:val="65595272"/>
    <w:rsid w:val="65C33CF2"/>
    <w:rsid w:val="65C621AD"/>
    <w:rsid w:val="65FC33BF"/>
    <w:rsid w:val="66EE5169"/>
    <w:rsid w:val="6793565D"/>
    <w:rsid w:val="67957E76"/>
    <w:rsid w:val="67A07D7A"/>
    <w:rsid w:val="67E364BD"/>
    <w:rsid w:val="685A43CD"/>
    <w:rsid w:val="68D25E84"/>
    <w:rsid w:val="69292B21"/>
    <w:rsid w:val="695E1C9B"/>
    <w:rsid w:val="69C441F4"/>
    <w:rsid w:val="6B196DC0"/>
    <w:rsid w:val="6B767770"/>
    <w:rsid w:val="6CA36342"/>
    <w:rsid w:val="6DB63E53"/>
    <w:rsid w:val="6E315BD0"/>
    <w:rsid w:val="6EC24A7A"/>
    <w:rsid w:val="6F265009"/>
    <w:rsid w:val="6F6D49E6"/>
    <w:rsid w:val="6FBF2B40"/>
    <w:rsid w:val="700851FC"/>
    <w:rsid w:val="702E23C7"/>
    <w:rsid w:val="717958C4"/>
    <w:rsid w:val="718A08A1"/>
    <w:rsid w:val="71CA4371"/>
    <w:rsid w:val="72062ED0"/>
    <w:rsid w:val="73FC334C"/>
    <w:rsid w:val="74CD1215"/>
    <w:rsid w:val="751A116C"/>
    <w:rsid w:val="755F47A7"/>
    <w:rsid w:val="75F949EF"/>
    <w:rsid w:val="76421206"/>
    <w:rsid w:val="769D3681"/>
    <w:rsid w:val="773C3DE7"/>
    <w:rsid w:val="77752DF8"/>
    <w:rsid w:val="77A26F42"/>
    <w:rsid w:val="77AF3540"/>
    <w:rsid w:val="77DA2DC0"/>
    <w:rsid w:val="77EB76A3"/>
    <w:rsid w:val="78815688"/>
    <w:rsid w:val="78BA7BD9"/>
    <w:rsid w:val="79382508"/>
    <w:rsid w:val="79A74F98"/>
    <w:rsid w:val="79F93A46"/>
    <w:rsid w:val="7A5F7EB4"/>
    <w:rsid w:val="7A835A05"/>
    <w:rsid w:val="7A8C7100"/>
    <w:rsid w:val="7AED2E7F"/>
    <w:rsid w:val="7BA63759"/>
    <w:rsid w:val="7CBC6FAC"/>
    <w:rsid w:val="7CCD4D16"/>
    <w:rsid w:val="7D23702C"/>
    <w:rsid w:val="7D423956"/>
    <w:rsid w:val="7D5D42EC"/>
    <w:rsid w:val="7D853842"/>
    <w:rsid w:val="7D862001"/>
    <w:rsid w:val="7DA245F3"/>
    <w:rsid w:val="7F037115"/>
    <w:rsid w:val="7F2C4327"/>
    <w:rsid w:val="7F437511"/>
    <w:rsid w:val="D517EA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720" w:firstLineChars="200"/>
      <w:jc w:val="both"/>
    </w:pPr>
    <w:rPr>
      <w:rFonts w:ascii="Calibri" w:hAnsi="Calibri" w:eastAsia="楷体" w:cs="Calibri"/>
      <w:kern w:val="2"/>
      <w:sz w:val="30"/>
      <w:szCs w:val="22"/>
      <w:lang w:val="en-US" w:eastAsia="zh-CN" w:bidi="ar-SA"/>
    </w:rPr>
  </w:style>
  <w:style w:type="paragraph" w:styleId="6">
    <w:name w:val="heading 1"/>
    <w:basedOn w:val="1"/>
    <w:next w:val="1"/>
    <w:qFormat/>
    <w:uiPriority w:val="0"/>
    <w:pPr>
      <w:keepNext/>
      <w:keepLines/>
      <w:spacing w:before="100" w:after="100" w:line="240" w:lineRule="auto"/>
      <w:outlineLvl w:val="0"/>
    </w:pPr>
    <w:rPr>
      <w:rFonts w:eastAsia="楷体"/>
      <w:b/>
      <w:bCs/>
      <w:kern w:val="44"/>
      <w:sz w:val="32"/>
      <w:szCs w:val="44"/>
    </w:rPr>
  </w:style>
  <w:style w:type="paragraph" w:styleId="7">
    <w:name w:val="heading 2"/>
    <w:basedOn w:val="1"/>
    <w:next w:val="1"/>
    <w:link w:val="21"/>
    <w:qFormat/>
    <w:uiPriority w:val="0"/>
    <w:pPr>
      <w:keepNext/>
      <w:keepLines/>
      <w:numPr>
        <w:ilvl w:val="1"/>
        <w:numId w:val="1"/>
      </w:numPr>
      <w:spacing w:before="156" w:beforeLines="50"/>
      <w:ind w:left="0" w:firstLine="0" w:firstLineChars="0"/>
      <w:outlineLvl w:val="1"/>
    </w:pPr>
    <w:rPr>
      <w:rFonts w:ascii="华文中宋" w:hAnsi="华文中宋" w:eastAsia="华文中宋" w:cs="Times New Roman"/>
      <w:b/>
      <w:bCs/>
      <w:kern w:val="0"/>
      <w:sz w:val="32"/>
      <w:szCs w:val="32"/>
    </w:rPr>
  </w:style>
  <w:style w:type="paragraph" w:styleId="8">
    <w:name w:val="heading 3"/>
    <w:basedOn w:val="1"/>
    <w:next w:val="1"/>
    <w:semiHidden/>
    <w:unhideWhenUsed/>
    <w:qFormat/>
    <w:uiPriority w:val="0"/>
    <w:pPr>
      <w:keepNext/>
      <w:keepLines/>
      <w:tabs>
        <w:tab w:val="right" w:pos="8640"/>
      </w:tabs>
      <w:spacing w:line="360" w:lineRule="auto"/>
      <w:ind w:firstLine="712" w:firstLineChars="200"/>
      <w:outlineLvl w:val="2"/>
    </w:pPr>
    <w:rPr>
      <w:rFonts w:ascii="Times New Roman" w:hAnsi="Times New Roman" w:eastAsia="黑体" w:cs="Times New Roman"/>
      <w:bCs/>
      <w:spacing w:val="-2"/>
      <w:sz w:val="28"/>
      <w:szCs w:val="3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0"/>
    <w:pPr>
      <w:tabs>
        <w:tab w:val="right" w:pos="8640"/>
      </w:tabs>
      <w:spacing w:after="0" w:line="500" w:lineRule="exact"/>
      <w:ind w:firstLine="320" w:firstLineChars="100"/>
    </w:pPr>
  </w:style>
  <w:style w:type="paragraph" w:styleId="3">
    <w:name w:val="Body Text"/>
    <w:basedOn w:val="1"/>
    <w:qFormat/>
    <w:uiPriority w:val="0"/>
    <w:pPr>
      <w:tabs>
        <w:tab w:val="right" w:pos="8640"/>
      </w:tabs>
      <w:spacing w:line="360" w:lineRule="auto"/>
    </w:pPr>
    <w:rPr>
      <w:sz w:val="24"/>
      <w:szCs w:val="24"/>
    </w:rPr>
  </w:style>
  <w:style w:type="paragraph" w:styleId="4">
    <w:name w:val="Body Text First Indent 2"/>
    <w:basedOn w:val="5"/>
    <w:qFormat/>
    <w:uiPriority w:val="99"/>
    <w:pPr>
      <w:ind w:firstLine="420"/>
    </w:pPr>
  </w:style>
  <w:style w:type="paragraph" w:styleId="5">
    <w:name w:val="Body Text Indent"/>
    <w:basedOn w:val="1"/>
    <w:unhideWhenUsed/>
    <w:qFormat/>
    <w:uiPriority w:val="0"/>
    <w:pPr>
      <w:spacing w:after="120"/>
      <w:ind w:left="420" w:leftChars="200"/>
    </w:pPr>
  </w:style>
  <w:style w:type="paragraph" w:styleId="9">
    <w:name w:val="annotation text"/>
    <w:basedOn w:val="1"/>
    <w:qFormat/>
    <w:uiPriority w:val="0"/>
    <w:pPr>
      <w:jc w:val="left"/>
    </w:pPr>
  </w:style>
  <w:style w:type="paragraph" w:styleId="10">
    <w:name w:val="toc 3"/>
    <w:basedOn w:val="1"/>
    <w:next w:val="1"/>
    <w:qFormat/>
    <w:uiPriority w:val="0"/>
    <w:pPr>
      <w:tabs>
        <w:tab w:val="right" w:pos="8640"/>
      </w:tabs>
      <w:ind w:left="840" w:leftChars="400"/>
    </w:pPr>
    <w:rPr>
      <w:rFonts w:ascii="Times New Roman" w:hAnsi="Times New Roman"/>
    </w:rPr>
  </w:style>
  <w:style w:type="paragraph" w:styleId="11">
    <w:name w:val="footer"/>
    <w:basedOn w:val="1"/>
    <w:qFormat/>
    <w:uiPriority w:val="99"/>
    <w:pPr>
      <w:tabs>
        <w:tab w:val="center" w:pos="4153"/>
        <w:tab w:val="right" w:pos="8306"/>
      </w:tabs>
      <w:snapToGrid w:val="0"/>
      <w:jc w:val="left"/>
    </w:pPr>
    <w:rPr>
      <w:rFonts w:ascii="Times New Roman" w:hAnsi="Times New Roman" w:cs="Times New Roman"/>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Times New Roman" w:hAnsi="Times New Roman" w:cs="Times New Roman"/>
      <w:kern w:val="0"/>
      <w:sz w:val="18"/>
      <w:szCs w:val="18"/>
    </w:rPr>
  </w:style>
  <w:style w:type="paragraph" w:styleId="13">
    <w:name w:val="toc 1"/>
    <w:basedOn w:val="1"/>
    <w:next w:val="1"/>
    <w:qFormat/>
    <w:uiPriority w:val="0"/>
    <w:pPr>
      <w:tabs>
        <w:tab w:val="right" w:pos="8640"/>
      </w:tabs>
      <w:spacing w:before="120" w:after="120"/>
      <w:ind w:firstLine="0" w:firstLineChars="0"/>
      <w:jc w:val="left"/>
    </w:pPr>
    <w:rPr>
      <w:rFonts w:ascii="宋体" w:hAnsi="宋体" w:cs="宋体"/>
      <w:caps/>
    </w:rPr>
  </w:style>
  <w:style w:type="paragraph" w:styleId="14">
    <w:name w:val="toc 2"/>
    <w:basedOn w:val="1"/>
    <w:next w:val="1"/>
    <w:qFormat/>
    <w:uiPriority w:val="0"/>
    <w:pPr>
      <w:ind w:left="420" w:leftChars="200"/>
    </w:p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8">
    <w:name w:val="列出段落2"/>
    <w:basedOn w:val="1"/>
    <w:qFormat/>
    <w:uiPriority w:val="99"/>
    <w:pPr>
      <w:ind w:firstLine="420" w:firstLineChars="200"/>
    </w:pPr>
    <w:rPr>
      <w:kern w:val="2"/>
    </w:rPr>
  </w:style>
  <w:style w:type="paragraph" w:customStyle="1" w:styleId="19">
    <w:name w:val="WPSOffice手动目录 1"/>
    <w:qFormat/>
    <w:uiPriority w:val="0"/>
    <w:pPr>
      <w:ind w:leftChars="0"/>
    </w:pPr>
    <w:rPr>
      <w:rFonts w:ascii="Times New Roman" w:hAnsi="Times New Roman" w:eastAsia="宋体" w:cs="Times New Roman"/>
      <w:sz w:val="20"/>
      <w:szCs w:val="20"/>
    </w:rPr>
  </w:style>
  <w:style w:type="paragraph" w:customStyle="1" w:styleId="20">
    <w:name w:val="WPSOffice手动目录 2"/>
    <w:qFormat/>
    <w:uiPriority w:val="0"/>
    <w:pPr>
      <w:ind w:leftChars="200"/>
    </w:pPr>
    <w:rPr>
      <w:rFonts w:ascii="Times New Roman" w:hAnsi="Times New Roman" w:eastAsia="宋体" w:cs="Times New Roman"/>
      <w:sz w:val="20"/>
      <w:szCs w:val="20"/>
    </w:rPr>
  </w:style>
  <w:style w:type="character" w:customStyle="1" w:styleId="21">
    <w:name w:val="标题 2 Char"/>
    <w:link w:val="7"/>
    <w:qFormat/>
    <w:uiPriority w:val="1"/>
    <w:rPr>
      <w:rFonts w:ascii="华文中宋" w:hAnsi="华文中宋" w:eastAsia="华文中宋" w:cs="Times New Roman"/>
      <w:b/>
      <w:bCs/>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2857</Words>
  <Characters>3041</Characters>
  <Lines>0</Lines>
  <Paragraphs>0</Paragraphs>
  <TotalTime>43</TotalTime>
  <ScaleCrop>false</ScaleCrop>
  <LinksUpToDate>false</LinksUpToDate>
  <CharactersWithSpaces>3048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2021-10-16T07:03:00Z</dcterms:created>
  <dc:creator>山有扶苏隰有荷华</dc:creator>
  <cp:lastModifiedBy>WPS_1745737764</cp:lastModifiedBy>
  <cp:lastPrinted>2022-02-23T08:17:00Z</cp:lastPrinted>
  <dcterms:modified xsi:type="dcterms:W3CDTF">2026-07-22T09:23:30Z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9D886A2FA0E3497BB9FEA13A2C97607E_13</vt:lpwstr>
  </property>
  <property fmtid="{D5CDD505-2E9C-101B-9397-08002B2CF9AE}" pid="4" name="KSOTemplateDocerSaveRecord">
    <vt:lpwstr>eyJoZGlkIjoiMjE4NzQxM2FjZGNhYzE1OGM5OGZlNWQxNTcyMzE1ZWYiLCJ1c2VySWQiOiIxNjk3NjU0NTEwIn0=</vt:lpwstr>
  </property>
</Properties>
</file>