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ind w:left="-90" w:leftChars="-337" w:hanging="618" w:hangingChars="221"/>
        <w:jc w:val="left"/>
        <w:textAlignment w:val="center"/>
        <w:rPr>
          <w:rFonts w:hint="eastAsia" w:ascii="黑体" w:hAnsi="黑体" w:eastAsia="黑体" w:cs="华文中宋"/>
          <w:b/>
          <w:color w:val="000000"/>
          <w:kern w:val="0"/>
          <w:sz w:val="28"/>
          <w:szCs w:val="28"/>
        </w:rPr>
      </w:pPr>
      <w:r>
        <w:rPr>
          <w:rFonts w:hint="eastAsia" w:ascii="黑体" w:hAnsi="黑体" w:eastAsia="黑体" w:cs="方正仿宋_GBK"/>
          <w:bCs/>
          <w:color w:val="000000"/>
          <w:kern w:val="0"/>
          <w:sz w:val="28"/>
          <w:szCs w:val="28"/>
        </w:rPr>
        <w:t>附件2</w:t>
      </w:r>
    </w:p>
    <w:p>
      <w:pPr>
        <w:widowControl/>
        <w:spacing w:line="640" w:lineRule="exact"/>
        <w:jc w:val="center"/>
        <w:textAlignment w:val="center"/>
        <w:rPr>
          <w:rFonts w:hint="eastAsia" w:ascii="方正小标宋简体" w:hAnsi="华文中宋" w:eastAsia="方正小标宋简体" w:cs="华文中宋"/>
          <w:color w:val="000000"/>
          <w:kern w:val="0"/>
          <w:sz w:val="36"/>
          <w:szCs w:val="36"/>
        </w:rPr>
      </w:pPr>
      <w:bookmarkStart w:id="0" w:name="_GoBack"/>
      <w:r>
        <w:rPr>
          <w:rFonts w:hint="eastAsia" w:ascii="方正小标宋简体" w:hAnsi="华文中宋" w:eastAsia="方正小标宋简体" w:cs="华文中宋"/>
          <w:color w:val="000000"/>
          <w:kern w:val="0"/>
          <w:sz w:val="36"/>
          <w:szCs w:val="36"/>
        </w:rPr>
        <w:t>第五批居家和社区养老服务改革</w:t>
      </w:r>
    </w:p>
    <w:p>
      <w:pPr>
        <w:widowControl/>
        <w:spacing w:line="640" w:lineRule="exact"/>
        <w:jc w:val="center"/>
        <w:textAlignment w:val="center"/>
        <w:rPr>
          <w:rFonts w:hint="eastAsia" w:ascii="方正小标宋简体" w:hAnsi="华文中宋" w:eastAsia="方正小标宋简体" w:cs="华文中宋"/>
          <w:color w:val="000000"/>
          <w:kern w:val="0"/>
          <w:sz w:val="36"/>
          <w:szCs w:val="36"/>
        </w:rPr>
      </w:pPr>
      <w:r>
        <w:rPr>
          <w:rFonts w:hint="eastAsia" w:ascii="方正小标宋简体" w:hAnsi="华文中宋" w:eastAsia="方正小标宋简体" w:cs="华文中宋"/>
          <w:color w:val="000000"/>
          <w:kern w:val="0"/>
          <w:sz w:val="36"/>
          <w:szCs w:val="36"/>
        </w:rPr>
        <w:t>试点申报地区工作基础表</w:t>
      </w:r>
    </w:p>
    <w:bookmarkEnd w:id="0"/>
    <w:tbl>
      <w:tblPr>
        <w:tblStyle w:val="3"/>
        <w:tblpPr w:leftFromText="180" w:rightFromText="180" w:vertAnchor="text" w:horzAnchor="page" w:tblpXSpec="center" w:tblpY="574"/>
        <w:tblOverlap w:val="never"/>
        <w:tblW w:w="97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0"/>
        <w:gridCol w:w="1800"/>
        <w:gridCol w:w="698"/>
        <w:gridCol w:w="1852"/>
        <w:gridCol w:w="2498"/>
        <w:gridCol w:w="11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9705" w:type="dxa"/>
            <w:gridSpan w:val="6"/>
            <w:tcBorders>
              <w:top w:val="nil"/>
              <w:left w:val="nil"/>
              <w:bottom w:val="nil"/>
              <w:right w:val="nil"/>
            </w:tcBorders>
            <w:vAlign w:val="top"/>
          </w:tcPr>
          <w:p>
            <w:pPr>
              <w:rPr>
                <w:rFonts w:hint="eastAsia" w:ascii="Calibri" w:hAnsi="Calibri"/>
                <w:bCs/>
                <w:szCs w:val="22"/>
              </w:rPr>
            </w:pPr>
            <w:r>
              <w:rPr>
                <w:rFonts w:hint="eastAsia" w:ascii="黑体" w:hAnsi="黑体" w:eastAsia="黑体" w:cs="黑体"/>
                <w:bCs/>
                <w:color w:val="000000"/>
                <w:kern w:val="0"/>
                <w:sz w:val="30"/>
                <w:szCs w:val="30"/>
              </w:rPr>
              <w:t>申报地区：       省（区、市）        市（区）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705" w:type="dxa"/>
            <w:gridSpan w:val="6"/>
            <w:tcBorders>
              <w:top w:val="nil"/>
              <w:left w:val="nil"/>
              <w:bottom w:val="single" w:color="auto" w:sz="4" w:space="0"/>
              <w:right w:val="nil"/>
            </w:tcBorders>
            <w:vAlign w:val="top"/>
          </w:tcPr>
          <w:p>
            <w:pPr>
              <w:jc w:val="right"/>
              <w:rPr>
                <w:rFonts w:hint="eastAsia" w:ascii="黑体" w:hAnsi="黑体" w:eastAsia="黑体" w:cs="黑体"/>
                <w:b/>
                <w:color w:val="000000"/>
                <w:kern w:val="0"/>
                <w:sz w:val="30"/>
                <w:szCs w:val="30"/>
              </w:rPr>
            </w:pPr>
            <w:r>
              <w:rPr>
                <w:rFonts w:hint="eastAsia" w:ascii="宋体" w:hAnsi="宋体" w:cs="宋体"/>
                <w:color w:val="000000"/>
                <w:kern w:val="0"/>
                <w:sz w:val="28"/>
                <w:szCs w:val="28"/>
              </w:rPr>
              <w:t>填报日期：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2" w:hRule="atLeast"/>
        </w:trPr>
        <w:tc>
          <w:tcPr>
            <w:tcW w:w="1710" w:type="dxa"/>
            <w:vMerge w:val="restart"/>
            <w:tcBorders>
              <w:top w:val="single" w:color="auto" w:sz="4" w:space="0"/>
              <w:bottom w:val="single" w:color="auto" w:sz="4" w:space="0"/>
            </w:tcBorders>
            <w:vAlign w:val="center"/>
          </w:tcPr>
          <w:p>
            <w:pPr>
              <w:adjustRightInd w:val="0"/>
              <w:snapToGrid w:val="0"/>
              <w:jc w:val="center"/>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组织基础</w:t>
            </w:r>
          </w:p>
        </w:tc>
        <w:tc>
          <w:tcPr>
            <w:tcW w:w="7995" w:type="dxa"/>
            <w:gridSpan w:val="5"/>
            <w:tcBorders>
              <w:top w:val="single" w:color="auto" w:sz="4" w:space="0"/>
              <w:bottom w:val="single" w:color="auto" w:sz="4" w:space="0"/>
            </w:tcBorders>
            <w:vAlign w:val="top"/>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领导机构名称：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7" w:hRule="atLeast"/>
        </w:trPr>
        <w:tc>
          <w:tcPr>
            <w:tcW w:w="1710" w:type="dxa"/>
            <w:vMerge w:val="continue"/>
            <w:tcBorders>
              <w:top w:val="single" w:color="auto" w:sz="4" w:space="0"/>
              <w:bottom w:val="single" w:color="auto" w:sz="4" w:space="0"/>
            </w:tcBorders>
            <w:vAlign w:val="center"/>
          </w:tcPr>
          <w:p>
            <w:pPr>
              <w:adjustRightInd w:val="0"/>
              <w:snapToGrid w:val="0"/>
              <w:rPr>
                <w:rFonts w:hint="eastAsia" w:ascii="方正仿宋_GBK" w:hAnsi="方正仿宋_GBK" w:eastAsia="方正仿宋_GBK" w:cs="方正仿宋_GBK"/>
                <w:kern w:val="0"/>
                <w:sz w:val="32"/>
                <w:szCs w:val="32"/>
              </w:rPr>
            </w:pPr>
          </w:p>
        </w:tc>
        <w:tc>
          <w:tcPr>
            <w:tcW w:w="7995" w:type="dxa"/>
            <w:gridSpan w:val="5"/>
            <w:tcBorders>
              <w:top w:val="single" w:color="auto" w:sz="4" w:space="0"/>
              <w:bottom w:val="single" w:color="auto" w:sz="4" w:space="0"/>
            </w:tcBorders>
            <w:vAlign w:val="top"/>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工作机制：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0" w:hRule="atLeast"/>
        </w:trPr>
        <w:tc>
          <w:tcPr>
            <w:tcW w:w="1710" w:type="dxa"/>
            <w:vMerge w:val="restart"/>
            <w:tcBorders>
              <w:top w:val="single" w:color="auto" w:sz="4" w:space="0"/>
            </w:tcBorders>
            <w:vAlign w:val="center"/>
          </w:tcPr>
          <w:p>
            <w:pPr>
              <w:jc w:val="center"/>
              <w:rPr>
                <w:rFonts w:hint="eastAsia" w:ascii="宋体" w:hAnsi="宋体" w:cs="宋体"/>
                <w:color w:val="000000"/>
                <w:kern w:val="0"/>
                <w:sz w:val="28"/>
                <w:szCs w:val="28"/>
              </w:rPr>
            </w:pPr>
            <w:r>
              <w:rPr>
                <w:rFonts w:hint="eastAsia" w:ascii="方正仿宋_GBK" w:hAnsi="方正仿宋_GBK" w:eastAsia="方正仿宋_GBK" w:cs="方正仿宋_GBK"/>
                <w:kern w:val="0"/>
                <w:sz w:val="32"/>
                <w:szCs w:val="32"/>
              </w:rPr>
              <w:t>服务基础</w:t>
            </w:r>
          </w:p>
        </w:tc>
        <w:tc>
          <w:tcPr>
            <w:tcW w:w="2498" w:type="dxa"/>
            <w:gridSpan w:val="2"/>
            <w:tcBorders>
              <w:top w:val="single" w:color="auto" w:sz="4" w:space="0"/>
            </w:tcBorders>
            <w:vAlign w:val="center"/>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所辖街道数量</w:t>
            </w:r>
          </w:p>
        </w:tc>
        <w:tc>
          <w:tcPr>
            <w:tcW w:w="1852" w:type="dxa"/>
            <w:tcBorders>
              <w:top w:val="single" w:color="auto" w:sz="4" w:space="0"/>
            </w:tcBorders>
            <w:vAlign w:val="center"/>
          </w:tcPr>
          <w:p>
            <w:pPr>
              <w:adjustRightInd w:val="0"/>
              <w:snapToGrid w:val="0"/>
              <w:rPr>
                <w:rFonts w:hint="eastAsia" w:ascii="方正仿宋_GBK" w:hAnsi="方正仿宋_GBK" w:eastAsia="方正仿宋_GBK" w:cs="方正仿宋_GBK"/>
                <w:kern w:val="0"/>
                <w:sz w:val="32"/>
                <w:szCs w:val="32"/>
              </w:rPr>
            </w:pPr>
          </w:p>
        </w:tc>
        <w:tc>
          <w:tcPr>
            <w:tcW w:w="2498" w:type="dxa"/>
            <w:tcBorders>
              <w:top w:val="single" w:color="auto" w:sz="4" w:space="0"/>
            </w:tcBorders>
            <w:vAlign w:val="center"/>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所辖乡镇数量</w:t>
            </w:r>
          </w:p>
        </w:tc>
        <w:tc>
          <w:tcPr>
            <w:tcW w:w="1147" w:type="dxa"/>
            <w:tcBorders>
              <w:top w:val="single" w:color="auto" w:sz="4" w:space="0"/>
            </w:tcBorders>
            <w:vAlign w:val="center"/>
          </w:tcPr>
          <w:p>
            <w:pPr>
              <w:jc w:val="left"/>
              <w:rPr>
                <w:rFonts w:hint="eastAsia" w:ascii="宋体" w:hAnsi="宋体" w:cs="宋体"/>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0" w:hRule="atLeast"/>
        </w:trPr>
        <w:tc>
          <w:tcPr>
            <w:tcW w:w="1710" w:type="dxa"/>
            <w:vMerge w:val="continue"/>
            <w:vAlign w:val="center"/>
          </w:tcPr>
          <w:p>
            <w:pPr>
              <w:jc w:val="center"/>
              <w:rPr>
                <w:rFonts w:hint="eastAsia" w:ascii="宋体" w:hAnsi="宋体" w:cs="宋体"/>
                <w:color w:val="000000"/>
                <w:kern w:val="0"/>
                <w:sz w:val="28"/>
                <w:szCs w:val="28"/>
              </w:rPr>
            </w:pPr>
          </w:p>
        </w:tc>
        <w:tc>
          <w:tcPr>
            <w:tcW w:w="2498" w:type="dxa"/>
            <w:gridSpan w:val="2"/>
            <w:vAlign w:val="center"/>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所辖居委会数量</w:t>
            </w:r>
          </w:p>
        </w:tc>
        <w:tc>
          <w:tcPr>
            <w:tcW w:w="1852" w:type="dxa"/>
            <w:vAlign w:val="center"/>
          </w:tcPr>
          <w:p>
            <w:pPr>
              <w:adjustRightInd w:val="0"/>
              <w:snapToGrid w:val="0"/>
              <w:rPr>
                <w:rFonts w:hint="eastAsia" w:ascii="方正仿宋_GBK" w:hAnsi="方正仿宋_GBK" w:eastAsia="方正仿宋_GBK" w:cs="方正仿宋_GBK"/>
                <w:kern w:val="0"/>
                <w:sz w:val="32"/>
                <w:szCs w:val="32"/>
              </w:rPr>
            </w:pPr>
          </w:p>
        </w:tc>
        <w:tc>
          <w:tcPr>
            <w:tcW w:w="2498" w:type="dxa"/>
            <w:vAlign w:val="center"/>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所辖村委会数量</w:t>
            </w:r>
          </w:p>
        </w:tc>
        <w:tc>
          <w:tcPr>
            <w:tcW w:w="1147" w:type="dxa"/>
            <w:vAlign w:val="center"/>
          </w:tcPr>
          <w:p>
            <w:pPr>
              <w:jc w:val="left"/>
              <w:rPr>
                <w:rFonts w:hint="eastAsia" w:ascii="宋体" w:hAnsi="宋体" w:cs="宋体"/>
                <w:color w:val="000000"/>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56" w:hRule="atLeast"/>
        </w:trPr>
        <w:tc>
          <w:tcPr>
            <w:tcW w:w="1710" w:type="dxa"/>
            <w:vMerge w:val="continue"/>
            <w:vAlign w:val="center"/>
          </w:tcPr>
          <w:p>
            <w:pPr>
              <w:jc w:val="left"/>
              <w:rPr>
                <w:rFonts w:ascii="Calibri" w:hAnsi="Calibri"/>
              </w:rPr>
            </w:pPr>
          </w:p>
        </w:tc>
        <w:tc>
          <w:tcPr>
            <w:tcW w:w="7995" w:type="dxa"/>
            <w:gridSpan w:val="5"/>
            <w:vAlign w:val="center"/>
          </w:tcPr>
          <w:p>
            <w:pPr>
              <w:adjustRightInd w:val="0"/>
              <w:snapToGrid w:val="0"/>
              <w:rPr>
                <w:rFonts w:hint="eastAsia" w:ascii="宋体" w:hAnsi="宋体" w:cs="宋体"/>
                <w:color w:val="000000"/>
                <w:kern w:val="0"/>
                <w:sz w:val="28"/>
                <w:szCs w:val="28"/>
              </w:rPr>
            </w:pPr>
            <w:r>
              <w:rPr>
                <w:rFonts w:hint="eastAsia" w:ascii="方正仿宋_GBK" w:hAnsi="方正仿宋_GBK" w:eastAsia="方正仿宋_GBK" w:cs="方正仿宋_GBK"/>
                <w:kern w:val="0"/>
                <w:sz w:val="32"/>
                <w:szCs w:val="32"/>
              </w:rPr>
              <w:t>※城市居家和社区养老服务设施总数（      ），其中：街道级服务设施数量（      ）；由社会力量运营的城市居家和社区养老服务设施比例（     ）；城市居家和社区养老服务设施覆盖率（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1710" w:type="dxa"/>
            <w:vMerge w:val="continue"/>
            <w:vAlign w:val="center"/>
          </w:tcPr>
          <w:p>
            <w:pPr>
              <w:jc w:val="left"/>
              <w:rPr>
                <w:rFonts w:hint="eastAsia" w:ascii="宋体" w:hAnsi="宋体" w:cs="宋体"/>
                <w:color w:val="000000"/>
                <w:kern w:val="0"/>
                <w:sz w:val="28"/>
                <w:szCs w:val="28"/>
              </w:rPr>
            </w:pPr>
          </w:p>
        </w:tc>
        <w:tc>
          <w:tcPr>
            <w:tcW w:w="7995" w:type="dxa"/>
            <w:gridSpan w:val="5"/>
            <w:vAlign w:val="center"/>
          </w:tcPr>
          <w:p>
            <w:pPr>
              <w:adjustRightInd w:val="0"/>
              <w:snapToGrid w:val="0"/>
              <w:rPr>
                <w:rFonts w:hint="eastAsia" w:ascii="宋体" w:hAnsi="宋体" w:cs="宋体"/>
                <w:color w:val="000000"/>
                <w:kern w:val="0"/>
                <w:sz w:val="28"/>
                <w:szCs w:val="28"/>
              </w:rPr>
            </w:pPr>
            <w:r>
              <w:rPr>
                <w:rFonts w:hint="eastAsia" w:ascii="方正仿宋_GBK" w:hAnsi="方正仿宋_GBK" w:eastAsia="方正仿宋_GBK" w:cs="方正仿宋_GBK"/>
                <w:kern w:val="0"/>
                <w:sz w:val="32"/>
                <w:szCs w:val="32"/>
              </w:rPr>
              <w:t>※农村居家和社区养老服务设施总数（      ），其中：乡镇级服务设施数量（      ）；由社会力量运营的农村居家和社区养老服务设施比例（      ）；农村居家和社区养老服务设施覆盖率（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1" w:hRule="atLeast"/>
        </w:trPr>
        <w:tc>
          <w:tcPr>
            <w:tcW w:w="1710" w:type="dxa"/>
            <w:vMerge w:val="restart"/>
            <w:vAlign w:val="center"/>
          </w:tcPr>
          <w:p>
            <w:pPr>
              <w:spacing w:line="520" w:lineRule="exact"/>
              <w:jc w:val="center"/>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用于居家和社区养老服务的财政资金投入（万元）</w:t>
            </w:r>
          </w:p>
        </w:tc>
        <w:tc>
          <w:tcPr>
            <w:tcW w:w="1800" w:type="dxa"/>
            <w:vMerge w:val="restart"/>
            <w:vAlign w:val="center"/>
          </w:tcPr>
          <w:p>
            <w:pPr>
              <w:adjustRightInd w:val="0"/>
              <w:snapToGrid w:val="0"/>
              <w:jc w:val="center"/>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2018年</w:t>
            </w:r>
          </w:p>
        </w:tc>
        <w:tc>
          <w:tcPr>
            <w:tcW w:w="6195" w:type="dxa"/>
            <w:gridSpan w:val="4"/>
            <w:vAlign w:val="center"/>
          </w:tcPr>
          <w:p>
            <w:pPr>
              <w:adjustRightInd w:val="0"/>
              <w:snapToGrid w:val="0"/>
              <w:jc w:val="left"/>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上级（中央及省级）：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1" w:hRule="atLeast"/>
        </w:trPr>
        <w:tc>
          <w:tcPr>
            <w:tcW w:w="1710" w:type="dxa"/>
            <w:vMerge w:val="continue"/>
            <w:vAlign w:val="top"/>
          </w:tcPr>
          <w:p>
            <w:pPr>
              <w:adjustRightInd w:val="0"/>
              <w:snapToGrid w:val="0"/>
              <w:rPr>
                <w:rFonts w:hint="eastAsia" w:ascii="方正仿宋_GBK" w:hAnsi="方正仿宋_GBK" w:eastAsia="方正仿宋_GBK" w:cs="方正仿宋_GBK"/>
                <w:kern w:val="0"/>
                <w:sz w:val="32"/>
                <w:szCs w:val="32"/>
              </w:rPr>
            </w:pPr>
          </w:p>
        </w:tc>
        <w:tc>
          <w:tcPr>
            <w:tcW w:w="1800" w:type="dxa"/>
            <w:vMerge w:val="continue"/>
            <w:vAlign w:val="center"/>
          </w:tcPr>
          <w:p>
            <w:pPr>
              <w:adjustRightInd w:val="0"/>
              <w:snapToGrid w:val="0"/>
              <w:jc w:val="center"/>
              <w:rPr>
                <w:rFonts w:hint="eastAsia" w:ascii="方正仿宋_GBK" w:hAnsi="方正仿宋_GBK" w:eastAsia="方正仿宋_GBK" w:cs="方正仿宋_GBK"/>
                <w:kern w:val="0"/>
                <w:sz w:val="32"/>
                <w:szCs w:val="32"/>
              </w:rPr>
            </w:pPr>
          </w:p>
        </w:tc>
        <w:tc>
          <w:tcPr>
            <w:tcW w:w="6195" w:type="dxa"/>
            <w:gridSpan w:val="4"/>
            <w:vAlign w:val="center"/>
          </w:tcPr>
          <w:p>
            <w:pPr>
              <w:adjustRightInd w:val="0"/>
              <w:snapToGrid w:val="0"/>
              <w:jc w:val="left"/>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本市（地市及以下）：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1" w:hRule="atLeast"/>
        </w:trPr>
        <w:tc>
          <w:tcPr>
            <w:tcW w:w="1710" w:type="dxa"/>
            <w:vMerge w:val="continue"/>
            <w:vAlign w:val="top"/>
          </w:tcPr>
          <w:p>
            <w:pPr>
              <w:adjustRightInd w:val="0"/>
              <w:snapToGrid w:val="0"/>
              <w:rPr>
                <w:rFonts w:hint="eastAsia" w:ascii="方正仿宋_GBK" w:hAnsi="方正仿宋_GBK" w:eastAsia="方正仿宋_GBK" w:cs="方正仿宋_GBK"/>
                <w:kern w:val="0"/>
                <w:sz w:val="32"/>
                <w:szCs w:val="32"/>
              </w:rPr>
            </w:pPr>
          </w:p>
        </w:tc>
        <w:tc>
          <w:tcPr>
            <w:tcW w:w="1800" w:type="dxa"/>
            <w:vMerge w:val="restart"/>
            <w:vAlign w:val="center"/>
          </w:tcPr>
          <w:p>
            <w:pPr>
              <w:adjustRightInd w:val="0"/>
              <w:snapToGrid w:val="0"/>
              <w:jc w:val="center"/>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2019年</w:t>
            </w:r>
          </w:p>
        </w:tc>
        <w:tc>
          <w:tcPr>
            <w:tcW w:w="6195" w:type="dxa"/>
            <w:gridSpan w:val="4"/>
            <w:vAlign w:val="center"/>
          </w:tcPr>
          <w:p>
            <w:pPr>
              <w:adjustRightInd w:val="0"/>
              <w:snapToGrid w:val="0"/>
              <w:jc w:val="left"/>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上级（中央及省级）：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21" w:hRule="atLeast"/>
        </w:trPr>
        <w:tc>
          <w:tcPr>
            <w:tcW w:w="1710" w:type="dxa"/>
            <w:vMerge w:val="continue"/>
            <w:vAlign w:val="top"/>
          </w:tcPr>
          <w:p>
            <w:pPr>
              <w:jc w:val="right"/>
              <w:rPr>
                <w:rFonts w:ascii="Calibri" w:hAnsi="Calibri"/>
              </w:rPr>
            </w:pPr>
          </w:p>
        </w:tc>
        <w:tc>
          <w:tcPr>
            <w:tcW w:w="1800" w:type="dxa"/>
            <w:vMerge w:val="continue"/>
            <w:vAlign w:val="center"/>
          </w:tcPr>
          <w:p>
            <w:pPr>
              <w:adjustRightInd w:val="0"/>
              <w:snapToGrid w:val="0"/>
              <w:jc w:val="center"/>
              <w:rPr>
                <w:rFonts w:hint="eastAsia" w:ascii="方正仿宋_GBK" w:hAnsi="方正仿宋_GBK" w:eastAsia="方正仿宋_GBK" w:cs="方正仿宋_GBK"/>
                <w:kern w:val="0"/>
                <w:sz w:val="32"/>
                <w:szCs w:val="32"/>
              </w:rPr>
            </w:pPr>
          </w:p>
        </w:tc>
        <w:tc>
          <w:tcPr>
            <w:tcW w:w="6195" w:type="dxa"/>
            <w:gridSpan w:val="4"/>
            <w:vAlign w:val="center"/>
          </w:tcPr>
          <w:p>
            <w:pPr>
              <w:adjustRightInd w:val="0"/>
              <w:snapToGrid w:val="0"/>
              <w:jc w:val="left"/>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本市（地市及以下）：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trPr>
        <w:tc>
          <w:tcPr>
            <w:tcW w:w="1710" w:type="dxa"/>
            <w:vMerge w:val="restart"/>
            <w:vAlign w:val="top"/>
          </w:tcPr>
          <w:p>
            <w:pPr>
              <w:spacing w:line="480" w:lineRule="auto"/>
              <w:jc w:val="left"/>
              <w:rPr>
                <w:rFonts w:hint="eastAsia" w:ascii="宋体" w:hAnsi="宋体" w:cs="宋体"/>
                <w:color w:val="000000"/>
                <w:kern w:val="0"/>
                <w:sz w:val="28"/>
                <w:szCs w:val="28"/>
              </w:rPr>
            </w:pPr>
          </w:p>
          <w:p>
            <w:pPr>
              <w:spacing w:line="480" w:lineRule="auto"/>
              <w:jc w:val="center"/>
              <w:rPr>
                <w:rFonts w:hint="eastAsia" w:ascii="宋体" w:hAnsi="宋体" w:cs="宋体"/>
                <w:color w:val="000000"/>
                <w:kern w:val="0"/>
                <w:sz w:val="28"/>
                <w:szCs w:val="28"/>
              </w:rPr>
            </w:pPr>
          </w:p>
          <w:p>
            <w:pPr>
              <w:spacing w:line="480" w:lineRule="auto"/>
              <w:jc w:val="left"/>
              <w:rPr>
                <w:rFonts w:hint="eastAsia" w:ascii="宋体" w:hAnsi="宋体" w:cs="宋体"/>
                <w:color w:val="000000"/>
                <w:kern w:val="0"/>
                <w:sz w:val="28"/>
                <w:szCs w:val="28"/>
              </w:rPr>
            </w:pPr>
          </w:p>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※已出台的政策</w:t>
            </w:r>
          </w:p>
          <w:p>
            <w:pPr>
              <w:rPr>
                <w:rFonts w:hint="eastAsia" w:ascii="宋体" w:hAnsi="宋体" w:cs="宋体"/>
                <w:szCs w:val="22"/>
              </w:rPr>
            </w:pPr>
          </w:p>
          <w:p>
            <w:pPr>
              <w:rPr>
                <w:rFonts w:hint="eastAsia" w:ascii="宋体" w:hAnsi="宋体" w:cs="宋体"/>
                <w:color w:val="000000"/>
                <w:kern w:val="0"/>
                <w:sz w:val="28"/>
                <w:szCs w:val="28"/>
              </w:rPr>
            </w:pPr>
          </w:p>
        </w:tc>
        <w:tc>
          <w:tcPr>
            <w:tcW w:w="7995" w:type="dxa"/>
            <w:gridSpan w:val="5"/>
            <w:vAlign w:val="top"/>
          </w:tcPr>
          <w:p>
            <w:pPr>
              <w:rPr>
                <w:rFonts w:hint="eastAsia" w:ascii="宋体" w:hAnsi="宋体" w:cs="宋体"/>
                <w:szCs w:val="22"/>
              </w:rPr>
            </w:pPr>
            <w:r>
              <w:rPr>
                <w:rFonts w:hint="eastAsia" w:ascii="方正仿宋_GBK" w:hAnsi="方正仿宋_GBK" w:eastAsia="方正仿宋_GBK" w:cs="方正仿宋_GBK"/>
                <w:kern w:val="0"/>
                <w:sz w:val="32"/>
                <w:szCs w:val="32"/>
              </w:rPr>
              <w:t>名称及文号</w:t>
            </w:r>
            <w:r>
              <w:rPr>
                <w:rFonts w:hint="eastAsia" w:ascii="宋体" w:hAnsi="宋体" w:cs="宋体"/>
                <w:szCs w:val="22"/>
              </w:rPr>
              <w:t>〔示例：XX市关于加快养老服务业发展的意见（X发文〔2019〕1号）〕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14" w:hRule="atLeast"/>
        </w:trPr>
        <w:tc>
          <w:tcPr>
            <w:tcW w:w="1710" w:type="dxa"/>
            <w:vMerge w:val="continue"/>
            <w:vAlign w:val="top"/>
          </w:tcPr>
          <w:p>
            <w:pPr>
              <w:rPr>
                <w:rFonts w:hint="eastAsia" w:ascii="宋体" w:hAnsi="宋体" w:cs="宋体"/>
                <w:color w:val="000000"/>
                <w:kern w:val="0"/>
                <w:sz w:val="28"/>
                <w:szCs w:val="28"/>
              </w:rPr>
            </w:pPr>
          </w:p>
        </w:tc>
        <w:tc>
          <w:tcPr>
            <w:tcW w:w="7995" w:type="dxa"/>
            <w:gridSpan w:val="5"/>
            <w:vAlign w:val="top"/>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关于居家和社区养老服务的核心内容</w:t>
            </w:r>
          </w:p>
          <w:p>
            <w:pPr>
              <w:rPr>
                <w:rFonts w:hint="eastAsia" w:ascii="宋体" w:hAnsi="宋体" w:cs="宋体"/>
                <w:color w:val="000000"/>
                <w:kern w:val="0"/>
                <w:sz w:val="28"/>
                <w:szCs w:val="28"/>
              </w:rPr>
            </w:pPr>
            <w:r>
              <w:rPr>
                <w:rFonts w:hint="eastAsia" w:ascii="宋体" w:hAnsi="宋体" w:cs="宋体"/>
                <w:szCs w:val="22"/>
              </w:rPr>
              <w:t>〔示例：建立市、县、街乡、村（居）四级居家社区养老服务网络〕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trPr>
        <w:tc>
          <w:tcPr>
            <w:tcW w:w="1710" w:type="dxa"/>
            <w:vMerge w:val="continue"/>
            <w:vAlign w:val="top"/>
          </w:tcPr>
          <w:p>
            <w:pPr>
              <w:rPr>
                <w:rFonts w:hint="eastAsia" w:ascii="宋体" w:hAnsi="宋体" w:cs="宋体"/>
                <w:szCs w:val="22"/>
              </w:rPr>
            </w:pPr>
          </w:p>
        </w:tc>
        <w:tc>
          <w:tcPr>
            <w:tcW w:w="7995" w:type="dxa"/>
            <w:gridSpan w:val="5"/>
            <w:vAlign w:val="top"/>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已解决的主要问题</w:t>
            </w:r>
          </w:p>
          <w:p>
            <w:pPr>
              <w:rPr>
                <w:rFonts w:hint="eastAsia" w:ascii="宋体" w:hAnsi="宋体" w:cs="宋体"/>
                <w:szCs w:val="22"/>
              </w:rPr>
            </w:pPr>
            <w:r>
              <w:rPr>
                <w:rFonts w:hint="eastAsia" w:ascii="宋体" w:hAnsi="宋体" w:cs="宋体"/>
                <w:szCs w:val="22"/>
              </w:rPr>
              <w:t>〔示例：解决了养老服务体系不健全的问题〕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 w:hRule="atLeast"/>
        </w:trPr>
        <w:tc>
          <w:tcPr>
            <w:tcW w:w="1710" w:type="dxa"/>
            <w:vMerge w:val="continue"/>
            <w:vAlign w:val="top"/>
          </w:tcPr>
          <w:p>
            <w:pPr>
              <w:rPr>
                <w:rFonts w:hint="eastAsia" w:ascii="宋体" w:hAnsi="宋体" w:cs="宋体"/>
                <w:szCs w:val="22"/>
              </w:rPr>
            </w:pPr>
          </w:p>
        </w:tc>
        <w:tc>
          <w:tcPr>
            <w:tcW w:w="7995" w:type="dxa"/>
            <w:gridSpan w:val="5"/>
            <w:vAlign w:val="top"/>
          </w:tcPr>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实施成效及下一步工作方向</w:t>
            </w:r>
          </w:p>
          <w:p>
            <w:pPr>
              <w:rPr>
                <w:rFonts w:hint="eastAsia" w:ascii="宋体" w:hAnsi="宋体" w:cs="宋体"/>
                <w:szCs w:val="22"/>
              </w:rPr>
            </w:pPr>
            <w:r>
              <w:rPr>
                <w:rFonts w:hint="eastAsia" w:ascii="宋体" w:hAnsi="宋体" w:cs="宋体"/>
                <w:szCs w:val="22"/>
              </w:rPr>
              <w:t>〔示例：成效：街道层面的社区养老服务机构实现全覆盖等。下一步工作方向：进一步增强服务能力，提高床位利用率等〕</w:t>
            </w:r>
          </w:p>
        </w:tc>
      </w:tr>
    </w:tbl>
    <w:p>
      <w:pPr>
        <w:rPr>
          <w:rFonts w:hint="eastAsia" w:ascii="宋体" w:hAnsi="宋体" w:cs="宋体"/>
          <w:color w:val="000000"/>
          <w:kern w:val="0"/>
          <w:sz w:val="28"/>
          <w:szCs w:val="28"/>
        </w:rPr>
      </w:pPr>
    </w:p>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※注：</w:t>
      </w:r>
    </w:p>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 xml:space="preserve">    1. 居家和社区养老服务设施主要是指在社区中为老年人提供生活照料服务的设施，包括社区日间托养服务设施、社区全天候托养服务设施、互助式养老服务设施、老年餐桌服务设施及其它服务设施，其中，互助式养老服务设施是指由老年人相互扶助的服务点，如农村幸福院。</w:t>
      </w:r>
    </w:p>
    <w:p>
      <w:pPr>
        <w:adjustRightInd w:val="0"/>
        <w:snapToGrid w:val="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 xml:space="preserve">    2. 城市（农村）居家和社区养老服务设施覆盖率=〔拥有居家和社区养老服务设施的居委会（村委会）数/居委会（村委会）总数〕*100%。</w:t>
      </w:r>
    </w:p>
    <w:p>
      <w:pPr>
        <w:adjustRightInd w:val="0"/>
        <w:snapToGrid w:val="0"/>
        <w:ind w:firstLine="640" w:firstLineChars="200"/>
        <w:rPr>
          <w:rFonts w:hint="eastAsia" w:ascii="方正仿宋_GBK" w:hAnsi="方正仿宋_GBK" w:eastAsia="方正仿宋_GBK" w:cs="方正仿宋_GBK"/>
          <w:kern w:val="0"/>
          <w:sz w:val="32"/>
          <w:szCs w:val="32"/>
        </w:rPr>
      </w:pPr>
      <w:r>
        <w:rPr>
          <w:rFonts w:hint="eastAsia" w:ascii="方正仿宋_GBK" w:hAnsi="方正仿宋_GBK" w:eastAsia="方正仿宋_GBK" w:cs="方正仿宋_GBK"/>
          <w:kern w:val="0"/>
          <w:sz w:val="32"/>
          <w:szCs w:val="32"/>
        </w:rPr>
        <w:t>3. 已出台的政策均需逐项明确政策名称及文号、核心内容、解决的主要问题、实施成效及下步工作方向等内容，关于核心内容、已解决的主要问题、成效及下步工作方向的简述，每项不超过300字。</w:t>
      </w:r>
    </w:p>
    <w:p>
      <w:pPr>
        <w:adjustRightInd w:val="0"/>
        <w:snapToGrid w:val="0"/>
        <w:ind w:firstLine="640" w:firstLineChars="200"/>
      </w:pPr>
      <w:r>
        <w:rPr>
          <w:rFonts w:hint="eastAsia" w:ascii="方正仿宋_GBK" w:hAnsi="方正仿宋_GBK" w:eastAsia="方正仿宋_GBK" w:cs="方正仿宋_GBK"/>
          <w:kern w:val="0"/>
          <w:sz w:val="32"/>
          <w:szCs w:val="32"/>
        </w:rPr>
        <w:t>4.除“用于居家和社区养老服务的财政资金投入”数据外，本表其他填报数据为截至2019年6月30日的统计数据，空缺项请填“0”。</w:t>
      </w:r>
    </w:p>
    <w:sectPr>
      <w:pgSz w:w="11906" w:h="16838"/>
      <w:pgMar w:top="1100" w:right="1800" w:bottom="1100" w:left="1800" w:header="851" w:footer="992"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方正仿宋_GBK">
    <w:altName w:val="Arial Unicode MS"/>
    <w:panose1 w:val="03000509000000000000"/>
    <w:charset w:val="86"/>
    <w:family w:val="script"/>
    <w:pitch w:val="default"/>
    <w:sig w:usb0="00000000" w:usb1="00000000" w:usb2="00000010" w:usb3="00000000" w:csb0="00040000" w:csb1="00000000"/>
  </w:font>
  <w:font w:name="方正小标宋简体">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CA3508"/>
    <w:rsid w:val="6D535020"/>
    <w:rsid w:val="7CCA35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29579;&#29647;\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1</TotalTime>
  <ScaleCrop>false</ScaleCrop>
  <LinksUpToDate>false</LinksUpToDate>
  <CharactersWithSpaces>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2019-11-12T12:36:00Z</dcterms:created>
  <dc:creator>王珏</dc:creator>
  <cp:lastModifiedBy>王珏</cp:lastModifiedBy>
  <dcterms:modified xsi:type="dcterms:W3CDTF">2019-11-12T12:38:52Z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